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19B9" w:rsidRPr="0054265A" w:rsidRDefault="000A27D8" w:rsidP="000A27D8">
      <w:pPr>
        <w:jc w:val="center"/>
        <w:rPr>
          <w:rFonts w:ascii="Times New Roman" w:hAnsi="Times New Roman" w:cs="Times New Roman"/>
          <w:b/>
          <w:sz w:val="28"/>
          <w:szCs w:val="24"/>
        </w:rPr>
      </w:pPr>
      <w:r w:rsidRPr="0054265A">
        <w:rPr>
          <w:rFonts w:ascii="Times New Roman" w:hAnsi="Times New Roman" w:cs="Times New Roman"/>
          <w:b/>
          <w:noProof/>
          <w:sz w:val="28"/>
          <w:szCs w:val="24"/>
        </w:rPr>
        <mc:AlternateContent>
          <mc:Choice Requires="wps">
            <w:drawing>
              <wp:anchor distT="0" distB="0" distL="114300" distR="114300" simplePos="0" relativeHeight="251661312" behindDoc="0" locked="0" layoutInCell="1" allowOverlap="1" wp14:anchorId="56912FD9" wp14:editId="1AE57485">
                <wp:simplePos x="0" y="0"/>
                <wp:positionH relativeFrom="column">
                  <wp:posOffset>-104775</wp:posOffset>
                </wp:positionH>
                <wp:positionV relativeFrom="paragraph">
                  <wp:posOffset>581025</wp:posOffset>
                </wp:positionV>
                <wp:extent cx="6257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A4FE12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45.75pt" to="484.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" strokecolor="#4a7ebb"/>
            </w:pict>
          </mc:Fallback>
        </mc:AlternateContent>
      </w:r>
      <w:r w:rsidRPr="0054265A">
        <w:rPr>
          <w:rFonts w:ascii="Times New Roman" w:hAnsi="Times New Roman" w:cs="Times New Roman"/>
          <w:b/>
          <w:noProof/>
          <w:sz w:val="28"/>
          <w:szCs w:val="24"/>
        </w:rPr>
        <mc:AlternateContent>
          <mc:Choice Requires="wps">
            <w:drawing>
              <wp:anchor distT="0" distB="0" distL="114300" distR="114300" simplePos="0" relativeHeight="251659264" behindDoc="0" locked="0" layoutInCell="1" allowOverlap="1" wp14:anchorId="6FB3E03D" wp14:editId="62AE80C4">
                <wp:simplePos x="0" y="0"/>
                <wp:positionH relativeFrom="column">
                  <wp:posOffset>-104776</wp:posOffset>
                </wp:positionH>
                <wp:positionV relativeFrom="paragraph">
                  <wp:posOffset>-152400</wp:posOffset>
                </wp:positionV>
                <wp:extent cx="6257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AB299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2pt" to="4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RtwEAAMMDAAAOAAAAZHJzL2Uyb0RvYy54bWysU8GOEzEMvSPxD1HudKaVdoF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" strokecolor="#4579b8 [3044]"/>
            </w:pict>
          </mc:Fallback>
        </mc:AlternateContent>
      </w:r>
      <w:r w:rsidRPr="0054265A">
        <w:rPr>
          <w:rFonts w:ascii="Times New Roman" w:hAnsi="Times New Roman" w:cs="Times New Roman"/>
          <w:b/>
          <w:sz w:val="28"/>
          <w:szCs w:val="24"/>
        </w:rPr>
        <w:t>Summary of Content Changes</w:t>
      </w:r>
      <w:r w:rsidR="000A751A" w:rsidRPr="0054265A">
        <w:rPr>
          <w:rFonts w:ascii="Times New Roman" w:hAnsi="Times New Roman" w:cs="Times New Roman"/>
          <w:b/>
          <w:sz w:val="28"/>
          <w:szCs w:val="24"/>
        </w:rPr>
        <w:br/>
        <w:t>201</w:t>
      </w:r>
      <w:r w:rsidR="00354E7B">
        <w:rPr>
          <w:rFonts w:ascii="Times New Roman" w:hAnsi="Times New Roman" w:cs="Times New Roman"/>
          <w:b/>
          <w:sz w:val="28"/>
          <w:szCs w:val="24"/>
        </w:rPr>
        <w:t>7</w:t>
      </w:r>
      <w:r w:rsidR="000A751A" w:rsidRPr="0054265A">
        <w:rPr>
          <w:rFonts w:ascii="Times New Roman" w:hAnsi="Times New Roman" w:cs="Times New Roman"/>
          <w:b/>
          <w:sz w:val="28"/>
          <w:szCs w:val="24"/>
        </w:rPr>
        <w:t>.</w:t>
      </w:r>
      <w:r w:rsidR="001F0A11">
        <w:rPr>
          <w:rFonts w:ascii="Times New Roman" w:hAnsi="Times New Roman" w:cs="Times New Roman"/>
          <w:b/>
          <w:sz w:val="28"/>
          <w:szCs w:val="24"/>
        </w:rPr>
        <w:t>3</w:t>
      </w:r>
      <w:r w:rsidR="000A751A" w:rsidRPr="0054265A">
        <w:rPr>
          <w:rFonts w:ascii="Times New Roman" w:hAnsi="Times New Roman" w:cs="Times New Roman"/>
          <w:b/>
          <w:sz w:val="28"/>
          <w:szCs w:val="24"/>
        </w:rPr>
        <w:t xml:space="preserve"> Update – </w:t>
      </w:r>
      <w:r w:rsidR="001F0A11">
        <w:rPr>
          <w:rFonts w:ascii="Times New Roman" w:hAnsi="Times New Roman" w:cs="Times New Roman"/>
          <w:b/>
          <w:sz w:val="28"/>
          <w:szCs w:val="24"/>
        </w:rPr>
        <w:t>June</w:t>
      </w:r>
      <w:r w:rsidR="00354E7B">
        <w:rPr>
          <w:rFonts w:ascii="Times New Roman" w:hAnsi="Times New Roman" w:cs="Times New Roman"/>
          <w:b/>
          <w:sz w:val="28"/>
          <w:szCs w:val="24"/>
        </w:rPr>
        <w:t xml:space="preserve"> 2017</w:t>
      </w:r>
    </w:p>
    <w:p w:rsidR="00061545" w:rsidRDefault="00061545">
      <w:pPr>
        <w:rPr>
          <w:rFonts w:ascii="Times New Roman" w:hAnsi="Times New Roman" w:cs="Times New Roman"/>
          <w:b/>
          <w:sz w:val="24"/>
          <w:szCs w:val="24"/>
          <w:u w:val="single"/>
        </w:rPr>
      </w:pPr>
    </w:p>
    <w:p w:rsidR="00BB140A" w:rsidRPr="00883718" w:rsidRDefault="00BB140A">
      <w:pPr>
        <w:rPr>
          <w:rFonts w:cstheme="minorHAnsi"/>
          <w:b/>
          <w:sz w:val="24"/>
          <w:szCs w:val="24"/>
          <w:u w:val="single"/>
        </w:rPr>
      </w:pPr>
      <w:r w:rsidRPr="00883718">
        <w:rPr>
          <w:rFonts w:cstheme="minorHAnsi"/>
          <w:b/>
          <w:sz w:val="24"/>
          <w:szCs w:val="24"/>
          <w:u w:val="single"/>
        </w:rPr>
        <w:t>General Notes</w:t>
      </w:r>
    </w:p>
    <w:p w:rsidR="007837CD" w:rsidRDefault="001F0A11" w:rsidP="00B52136">
      <w:pPr>
        <w:rPr>
          <w:rFonts w:cstheme="minorHAnsi"/>
          <w:sz w:val="24"/>
          <w:szCs w:val="24"/>
        </w:rPr>
      </w:pPr>
      <w:r>
        <w:rPr>
          <w:rFonts w:cstheme="minorHAnsi"/>
          <w:sz w:val="24"/>
          <w:szCs w:val="24"/>
        </w:rPr>
        <w:t>With an applicability date of June 9, 2017</w:t>
      </w:r>
      <w:r w:rsidR="00FB3840">
        <w:rPr>
          <w:rFonts w:cstheme="minorHAnsi"/>
          <w:sz w:val="24"/>
          <w:szCs w:val="24"/>
        </w:rPr>
        <w:t xml:space="preserve">, the </w:t>
      </w:r>
      <w:hyperlink r:id="rId5" w:history="1">
        <w:r w:rsidR="00FB3840" w:rsidRPr="00FB3840">
          <w:rPr>
            <w:rStyle w:val="Hyperlink"/>
            <w:rFonts w:cstheme="minorHAnsi"/>
            <w:sz w:val="24"/>
            <w:szCs w:val="24"/>
          </w:rPr>
          <w:t xml:space="preserve">Department of Labor’s expanded definition of a fiduciary under the </w:t>
        </w:r>
        <w:r w:rsidR="00C32D59">
          <w:rPr>
            <w:rStyle w:val="Hyperlink"/>
            <w:rFonts w:cstheme="minorHAnsi"/>
            <w:sz w:val="24"/>
            <w:szCs w:val="24"/>
          </w:rPr>
          <w:t xml:space="preserve">Conflict of Interest </w:t>
        </w:r>
        <w:r w:rsidR="00FB3840" w:rsidRPr="00FB3840">
          <w:rPr>
            <w:rStyle w:val="Hyperlink"/>
            <w:rFonts w:cstheme="minorHAnsi"/>
            <w:sz w:val="24"/>
            <w:szCs w:val="24"/>
          </w:rPr>
          <w:t>rules</w:t>
        </w:r>
      </w:hyperlink>
      <w:r w:rsidR="00FB3840">
        <w:rPr>
          <w:rFonts w:cstheme="minorHAnsi"/>
          <w:sz w:val="24"/>
          <w:szCs w:val="24"/>
        </w:rPr>
        <w:t xml:space="preserve"> may impact certain credit unio</w:t>
      </w:r>
      <w:r w:rsidR="0086795C">
        <w:rPr>
          <w:rFonts w:cstheme="minorHAnsi"/>
          <w:sz w:val="24"/>
          <w:szCs w:val="24"/>
        </w:rPr>
        <w:t>n activities.  Credit unions that</w:t>
      </w:r>
      <w:r w:rsidR="00FB3840">
        <w:rPr>
          <w:rFonts w:cstheme="minorHAnsi"/>
          <w:sz w:val="24"/>
          <w:szCs w:val="24"/>
        </w:rPr>
        <w:t xml:space="preserve"> refer business to a third-party broker dealer and receive compensation will need to work with that broker dealer to make sure they are complying with an exemption under the rules.  Additionally, credit unions will need to look at their own procedures and processes for investment advice and compensa</w:t>
      </w:r>
      <w:r w:rsidR="004C6BA0">
        <w:rPr>
          <w:rFonts w:cstheme="minorHAnsi"/>
          <w:sz w:val="24"/>
          <w:szCs w:val="24"/>
        </w:rPr>
        <w:t>tion structure related to the Individual Retirement Account (IRA) term deposits offered at the credit union.</w:t>
      </w:r>
    </w:p>
    <w:p w:rsidR="00C32D59" w:rsidRDefault="00C32D59" w:rsidP="00B52136">
      <w:pPr>
        <w:rPr>
          <w:rFonts w:cstheme="minorHAnsi"/>
          <w:sz w:val="24"/>
          <w:szCs w:val="24"/>
        </w:rPr>
      </w:pPr>
      <w:r>
        <w:rPr>
          <w:rFonts w:cstheme="minorHAnsi"/>
          <w:sz w:val="24"/>
          <w:szCs w:val="24"/>
        </w:rPr>
        <w:t>Effective September 15</w:t>
      </w:r>
      <w:r w:rsidRPr="00C32D59">
        <w:rPr>
          <w:rFonts w:cstheme="minorHAnsi"/>
          <w:sz w:val="24"/>
          <w:szCs w:val="24"/>
          <w:vertAlign w:val="superscript"/>
        </w:rPr>
        <w:t>th</w:t>
      </w:r>
      <w:r w:rsidR="00E5066C">
        <w:rPr>
          <w:rFonts w:cstheme="minorHAnsi"/>
          <w:sz w:val="24"/>
          <w:szCs w:val="24"/>
        </w:rPr>
        <w:t xml:space="preserve"> is the second phase of </w:t>
      </w:r>
      <w:hyperlink r:id="rId6" w:history="1">
        <w:r w:rsidR="00E5066C" w:rsidRPr="00E5066C">
          <w:rPr>
            <w:rStyle w:val="Hyperlink"/>
            <w:rFonts w:cstheme="minorHAnsi"/>
            <w:sz w:val="24"/>
            <w:szCs w:val="24"/>
          </w:rPr>
          <w:t xml:space="preserve">NACHA’s </w:t>
        </w:r>
        <w:r w:rsidRPr="00E5066C">
          <w:rPr>
            <w:rStyle w:val="Hyperlink"/>
            <w:rFonts w:cstheme="minorHAnsi"/>
            <w:sz w:val="24"/>
            <w:szCs w:val="24"/>
          </w:rPr>
          <w:t>Same Day ACH</w:t>
        </w:r>
        <w:r w:rsidR="00E5066C" w:rsidRPr="00E5066C">
          <w:rPr>
            <w:rStyle w:val="Hyperlink"/>
            <w:rFonts w:cstheme="minorHAnsi"/>
            <w:sz w:val="24"/>
            <w:szCs w:val="24"/>
          </w:rPr>
          <w:t xml:space="preserve"> rules</w:t>
        </w:r>
      </w:hyperlink>
      <w:r w:rsidR="00E5066C">
        <w:rPr>
          <w:rFonts w:cstheme="minorHAnsi"/>
          <w:sz w:val="24"/>
          <w:szCs w:val="24"/>
        </w:rPr>
        <w:t>.  On this date, Same Day ACH will be available for debit entries (in addition to credit entries which was effective last year).</w:t>
      </w:r>
    </w:p>
    <w:p w:rsidR="00993D53" w:rsidRDefault="00993D53" w:rsidP="00B52136">
      <w:pPr>
        <w:rPr>
          <w:rFonts w:cstheme="minorHAnsi"/>
          <w:sz w:val="24"/>
          <w:szCs w:val="24"/>
        </w:rPr>
      </w:pPr>
      <w:r>
        <w:rPr>
          <w:rFonts w:cstheme="minorHAnsi"/>
          <w:sz w:val="24"/>
          <w:szCs w:val="24"/>
        </w:rPr>
        <w:t xml:space="preserve">Some of the </w:t>
      </w:r>
      <w:hyperlink r:id="rId7" w:history="1">
        <w:r w:rsidRPr="00993D53">
          <w:rPr>
            <w:rStyle w:val="Hyperlink"/>
            <w:rFonts w:cstheme="minorHAnsi"/>
            <w:sz w:val="24"/>
            <w:szCs w:val="24"/>
          </w:rPr>
          <w:t>CFPB’s Mortgage Servicing</w:t>
        </w:r>
      </w:hyperlink>
      <w:r>
        <w:rPr>
          <w:rFonts w:cstheme="minorHAnsi"/>
          <w:sz w:val="24"/>
          <w:szCs w:val="24"/>
        </w:rPr>
        <w:t xml:space="preserve"> changes become effective on October 19, 2017</w:t>
      </w:r>
      <w:r w:rsidR="00321404">
        <w:rPr>
          <w:rFonts w:cstheme="minorHAnsi"/>
          <w:sz w:val="24"/>
          <w:szCs w:val="24"/>
        </w:rPr>
        <w:t>.  In order to assist credit unions prepare and obtain Board approval, model policies have been update to reflect these changes, although these policy revisions shouldn’t be adopted until after the effective date.</w:t>
      </w:r>
    </w:p>
    <w:p w:rsidR="00321404" w:rsidRDefault="00321404" w:rsidP="00B52136">
      <w:pPr>
        <w:rPr>
          <w:rFonts w:cstheme="minorHAnsi"/>
          <w:sz w:val="24"/>
          <w:szCs w:val="24"/>
        </w:rPr>
      </w:pPr>
      <w:r>
        <w:rPr>
          <w:rFonts w:cstheme="minorHAnsi"/>
          <w:sz w:val="24"/>
          <w:szCs w:val="24"/>
        </w:rPr>
        <w:t>Credit unions also need to be aware that</w:t>
      </w:r>
      <w:r w:rsidR="00BA279D">
        <w:rPr>
          <w:rFonts w:cstheme="minorHAnsi"/>
          <w:sz w:val="24"/>
          <w:szCs w:val="24"/>
        </w:rPr>
        <w:t xml:space="preserve"> compliance is mandatory as of October 3, 2017 for </w:t>
      </w:r>
      <w:r>
        <w:rPr>
          <w:rFonts w:cstheme="minorHAnsi"/>
          <w:sz w:val="24"/>
          <w:szCs w:val="24"/>
        </w:rPr>
        <w:t xml:space="preserve">the </w:t>
      </w:r>
      <w:hyperlink r:id="rId8" w:history="1">
        <w:r w:rsidRPr="00321404">
          <w:rPr>
            <w:rStyle w:val="Hyperlink"/>
            <w:rFonts w:cstheme="minorHAnsi"/>
            <w:sz w:val="24"/>
            <w:szCs w:val="24"/>
          </w:rPr>
          <w:t>Military Lending Act</w:t>
        </w:r>
      </w:hyperlink>
      <w:r>
        <w:rPr>
          <w:rFonts w:cstheme="minorHAnsi"/>
          <w:sz w:val="24"/>
          <w:szCs w:val="24"/>
        </w:rPr>
        <w:t xml:space="preserve"> </w:t>
      </w:r>
      <w:r w:rsidR="00C82E7B">
        <w:rPr>
          <w:rFonts w:cstheme="minorHAnsi"/>
          <w:sz w:val="24"/>
          <w:szCs w:val="24"/>
        </w:rPr>
        <w:t>changers pertaining to the Military Annual Percentage Rate (MAPR) for credit cards</w:t>
      </w:r>
      <w:r>
        <w:rPr>
          <w:rFonts w:cstheme="minorHAnsi"/>
          <w:sz w:val="24"/>
          <w:szCs w:val="24"/>
        </w:rPr>
        <w:t xml:space="preserve">.  Policy 7213 – Military Personnel Loans </w:t>
      </w:r>
      <w:r w:rsidR="001B4C05">
        <w:rPr>
          <w:rFonts w:cstheme="minorHAnsi"/>
          <w:sz w:val="24"/>
          <w:szCs w:val="24"/>
        </w:rPr>
        <w:t xml:space="preserve">was revised </w:t>
      </w:r>
      <w:r w:rsidR="00BA279D">
        <w:rPr>
          <w:rFonts w:cstheme="minorHAnsi"/>
          <w:sz w:val="24"/>
          <w:szCs w:val="24"/>
        </w:rPr>
        <w:t xml:space="preserve">to </w:t>
      </w:r>
      <w:r w:rsidR="001B4C05">
        <w:rPr>
          <w:rFonts w:cstheme="minorHAnsi"/>
          <w:sz w:val="24"/>
          <w:szCs w:val="24"/>
        </w:rPr>
        <w:t xml:space="preserve">include </w:t>
      </w:r>
      <w:r w:rsidR="00C82E7B">
        <w:rPr>
          <w:rFonts w:cstheme="minorHAnsi"/>
          <w:sz w:val="24"/>
          <w:szCs w:val="24"/>
        </w:rPr>
        <w:t xml:space="preserve">additional </w:t>
      </w:r>
      <w:r w:rsidR="001B4C05">
        <w:rPr>
          <w:rFonts w:cstheme="minorHAnsi"/>
          <w:sz w:val="24"/>
          <w:szCs w:val="24"/>
        </w:rPr>
        <w:t xml:space="preserve">information </w:t>
      </w:r>
      <w:r w:rsidR="00C82E7B">
        <w:rPr>
          <w:rFonts w:cstheme="minorHAnsi"/>
          <w:sz w:val="24"/>
          <w:szCs w:val="24"/>
        </w:rPr>
        <w:t>on the MAPR</w:t>
      </w:r>
      <w:r w:rsidR="00BA279D">
        <w:rPr>
          <w:rFonts w:cstheme="minorHAnsi"/>
          <w:sz w:val="24"/>
          <w:szCs w:val="24"/>
        </w:rPr>
        <w:t xml:space="preserve"> and the exclusion of certain bona fide reasonable </w:t>
      </w:r>
      <w:r w:rsidR="00C82E7B">
        <w:rPr>
          <w:rFonts w:cstheme="minorHAnsi"/>
          <w:sz w:val="24"/>
          <w:szCs w:val="24"/>
        </w:rPr>
        <w:t xml:space="preserve">credit card </w:t>
      </w:r>
      <w:r w:rsidR="00BA279D">
        <w:rPr>
          <w:rFonts w:cstheme="minorHAnsi"/>
          <w:sz w:val="24"/>
          <w:szCs w:val="24"/>
        </w:rPr>
        <w:t xml:space="preserve">fees.  Credit Unions can adopt this </w:t>
      </w:r>
      <w:r w:rsidR="00C82E7B">
        <w:rPr>
          <w:rFonts w:cstheme="minorHAnsi"/>
          <w:sz w:val="24"/>
          <w:szCs w:val="24"/>
        </w:rPr>
        <w:t>policy ahead of October 3, 2017, but must comply with these new requirements by the mandatory compliance date.</w:t>
      </w:r>
    </w:p>
    <w:p w:rsidR="00061545" w:rsidRPr="00883718" w:rsidRDefault="00061545" w:rsidP="002D1823">
      <w:pPr>
        <w:spacing w:after="0"/>
        <w:rPr>
          <w:rFonts w:cstheme="minorHAnsi"/>
          <w:b/>
          <w:sz w:val="24"/>
          <w:szCs w:val="24"/>
          <w:u w:val="single"/>
        </w:rPr>
      </w:pPr>
      <w:r w:rsidRPr="00883718">
        <w:rPr>
          <w:rFonts w:cstheme="minorHAnsi"/>
          <w:b/>
          <w:sz w:val="24"/>
          <w:szCs w:val="24"/>
          <w:u w:val="single"/>
        </w:rPr>
        <w:t>Policy Updates Summary</w:t>
      </w:r>
    </w:p>
    <w:p w:rsidR="00EC6CDB" w:rsidRDefault="00EC6CDB" w:rsidP="002D1823">
      <w:pPr>
        <w:spacing w:after="0"/>
        <w:rPr>
          <w:rFonts w:cstheme="minorHAnsi"/>
          <w:sz w:val="24"/>
          <w:szCs w:val="24"/>
        </w:rPr>
      </w:pPr>
    </w:p>
    <w:p w:rsidR="00EB73E0" w:rsidRPr="00883718" w:rsidRDefault="00EB73E0" w:rsidP="00EB73E0">
      <w:pPr>
        <w:spacing w:after="0"/>
        <w:rPr>
          <w:rFonts w:cstheme="minorHAnsi"/>
          <w:color w:val="FF0000"/>
          <w:sz w:val="24"/>
          <w:szCs w:val="24"/>
        </w:rPr>
      </w:pPr>
      <w:r>
        <w:rPr>
          <w:rFonts w:cstheme="minorHAnsi"/>
          <w:b/>
          <w:sz w:val="24"/>
          <w:szCs w:val="24"/>
          <w:u w:val="single"/>
        </w:rPr>
        <w:t xml:space="preserve">Policy </w:t>
      </w:r>
      <w:r w:rsidR="00E5066C">
        <w:rPr>
          <w:rFonts w:cstheme="minorHAnsi"/>
          <w:b/>
          <w:sz w:val="24"/>
          <w:szCs w:val="24"/>
          <w:u w:val="single"/>
        </w:rPr>
        <w:t>2212 – Individual Retirement Arrangements</w:t>
      </w:r>
    </w:p>
    <w:p w:rsidR="00EB73E0" w:rsidRPr="00883718" w:rsidRDefault="00E5066C" w:rsidP="00EB73E0">
      <w:pPr>
        <w:pStyle w:val="Default"/>
        <w:rPr>
          <w:rFonts w:asciiTheme="minorHAnsi" w:hAnsiTheme="minorHAnsi" w:cstheme="minorHAnsi"/>
          <w:b/>
          <w:color w:val="auto"/>
          <w:u w:val="single"/>
        </w:rPr>
      </w:pPr>
      <w:r>
        <w:rPr>
          <w:rFonts w:asciiTheme="minorHAnsi" w:hAnsiTheme="minorHAnsi" w:cstheme="minorHAnsi"/>
          <w:b/>
          <w:color w:val="auto"/>
          <w:u w:val="single"/>
        </w:rPr>
        <w:t>2017-3</w:t>
      </w:r>
    </w:p>
    <w:p w:rsidR="00936252" w:rsidRDefault="00E5066C" w:rsidP="00EB73E0">
      <w:pPr>
        <w:spacing w:after="0"/>
        <w:rPr>
          <w:rFonts w:cstheme="minorHAnsi"/>
          <w:sz w:val="24"/>
          <w:szCs w:val="24"/>
        </w:rPr>
      </w:pPr>
      <w:r>
        <w:rPr>
          <w:rFonts w:cstheme="minorHAnsi"/>
          <w:sz w:val="24"/>
          <w:szCs w:val="24"/>
        </w:rPr>
        <w:t xml:space="preserve">With the changes made to the </w:t>
      </w:r>
      <w:hyperlink r:id="rId9" w:history="1">
        <w:r w:rsidRPr="00FB3840">
          <w:rPr>
            <w:rStyle w:val="Hyperlink"/>
            <w:rFonts w:cstheme="minorHAnsi"/>
            <w:sz w:val="24"/>
            <w:szCs w:val="24"/>
          </w:rPr>
          <w:t xml:space="preserve">Department of Labor’s expanded definition of a fiduciary under the </w:t>
        </w:r>
        <w:r>
          <w:rPr>
            <w:rStyle w:val="Hyperlink"/>
            <w:rFonts w:cstheme="minorHAnsi"/>
            <w:sz w:val="24"/>
            <w:szCs w:val="24"/>
          </w:rPr>
          <w:t xml:space="preserve">Conflict of Interest </w:t>
        </w:r>
        <w:r w:rsidRPr="00FB3840">
          <w:rPr>
            <w:rStyle w:val="Hyperlink"/>
            <w:rFonts w:cstheme="minorHAnsi"/>
            <w:sz w:val="24"/>
            <w:szCs w:val="24"/>
          </w:rPr>
          <w:t>rules</w:t>
        </w:r>
      </w:hyperlink>
      <w:r>
        <w:rPr>
          <w:rStyle w:val="Hyperlink"/>
          <w:rFonts w:cstheme="minorHAnsi"/>
          <w:sz w:val="24"/>
          <w:szCs w:val="24"/>
        </w:rPr>
        <w:t>,</w:t>
      </w:r>
      <w:r>
        <w:rPr>
          <w:rFonts w:cstheme="minorHAnsi"/>
          <w:sz w:val="24"/>
          <w:szCs w:val="24"/>
        </w:rPr>
        <w:t xml:space="preserve"> Policy 2212 was updated to add in “prohibited transactions” </w:t>
      </w:r>
      <w:r w:rsidR="0086795C">
        <w:rPr>
          <w:rFonts w:cstheme="minorHAnsi"/>
          <w:sz w:val="24"/>
          <w:szCs w:val="24"/>
        </w:rPr>
        <w:t>from which</w:t>
      </w:r>
      <w:r>
        <w:rPr>
          <w:rFonts w:cstheme="minorHAnsi"/>
          <w:sz w:val="24"/>
          <w:szCs w:val="24"/>
        </w:rPr>
        <w:t xml:space="preserve"> the credit union will </w:t>
      </w:r>
      <w:r w:rsidR="0086795C">
        <w:rPr>
          <w:rFonts w:cstheme="minorHAnsi"/>
          <w:sz w:val="24"/>
          <w:szCs w:val="24"/>
        </w:rPr>
        <w:t xml:space="preserve">need to refrain </w:t>
      </w:r>
      <w:r>
        <w:rPr>
          <w:rFonts w:cstheme="minorHAnsi"/>
          <w:sz w:val="24"/>
          <w:szCs w:val="24"/>
        </w:rPr>
        <w:t>in order to avoid an exemption u</w:t>
      </w:r>
      <w:r w:rsidR="0086795C">
        <w:rPr>
          <w:rFonts w:cstheme="minorHAnsi"/>
          <w:sz w:val="24"/>
          <w:szCs w:val="24"/>
        </w:rPr>
        <w:t>nder the rule.  If the Credit U</w:t>
      </w:r>
      <w:r w:rsidR="006F0588">
        <w:rPr>
          <w:rFonts w:cstheme="minorHAnsi"/>
          <w:sz w:val="24"/>
          <w:szCs w:val="24"/>
        </w:rPr>
        <w:t xml:space="preserve">nion decides to pursue an exemption </w:t>
      </w:r>
      <w:r w:rsidR="0086795C">
        <w:rPr>
          <w:rFonts w:cstheme="minorHAnsi"/>
          <w:sz w:val="24"/>
          <w:szCs w:val="24"/>
        </w:rPr>
        <w:t>to</w:t>
      </w:r>
      <w:r w:rsidR="006F0588">
        <w:rPr>
          <w:rFonts w:cstheme="minorHAnsi"/>
          <w:sz w:val="24"/>
          <w:szCs w:val="24"/>
        </w:rPr>
        <w:t xml:space="preserve"> undertake these activities, they should work with Legal Counsel and this bullet should not be added.</w:t>
      </w:r>
    </w:p>
    <w:p w:rsidR="00936252" w:rsidRDefault="00936252" w:rsidP="00EB73E0">
      <w:pPr>
        <w:spacing w:after="0"/>
        <w:rPr>
          <w:rFonts w:cstheme="minorHAnsi"/>
          <w:sz w:val="24"/>
          <w:szCs w:val="24"/>
        </w:rPr>
      </w:pPr>
    </w:p>
    <w:p w:rsidR="00EB73E0" w:rsidRPr="00883718" w:rsidRDefault="00EB73E0" w:rsidP="00EB73E0">
      <w:pPr>
        <w:spacing w:after="0"/>
        <w:rPr>
          <w:rFonts w:cstheme="minorHAnsi"/>
          <w:color w:val="FF0000"/>
          <w:sz w:val="24"/>
          <w:szCs w:val="24"/>
        </w:rPr>
      </w:pPr>
      <w:r w:rsidRPr="00883718">
        <w:rPr>
          <w:rFonts w:cstheme="minorHAnsi"/>
          <w:color w:val="FF0000"/>
          <w:sz w:val="24"/>
          <w:szCs w:val="24"/>
        </w:rPr>
        <w:t>(Re</w:t>
      </w:r>
      <w:r>
        <w:rPr>
          <w:rFonts w:cstheme="minorHAnsi"/>
          <w:color w:val="FF0000"/>
          <w:sz w:val="24"/>
          <w:szCs w:val="24"/>
        </w:rPr>
        <w:t>commended</w:t>
      </w:r>
      <w:r w:rsidRPr="00883718">
        <w:rPr>
          <w:rFonts w:cstheme="minorHAnsi"/>
          <w:color w:val="FF0000"/>
          <w:sz w:val="24"/>
          <w:szCs w:val="24"/>
        </w:rPr>
        <w:t>)</w:t>
      </w:r>
    </w:p>
    <w:p w:rsidR="00EB73E0" w:rsidRDefault="00EB73E0" w:rsidP="00FE6F1B">
      <w:pPr>
        <w:spacing w:after="0"/>
        <w:rPr>
          <w:rFonts w:cstheme="minorHAnsi"/>
          <w:b/>
          <w:sz w:val="24"/>
          <w:szCs w:val="24"/>
          <w:u w:val="single"/>
        </w:rPr>
      </w:pPr>
    </w:p>
    <w:p w:rsidR="00B73E3F" w:rsidRDefault="006F0588" w:rsidP="006F0588">
      <w:pPr>
        <w:spacing w:after="0"/>
        <w:rPr>
          <w:rFonts w:cstheme="minorHAnsi"/>
          <w:color w:val="FF0000"/>
          <w:sz w:val="24"/>
          <w:szCs w:val="24"/>
        </w:rPr>
      </w:pPr>
      <w:r>
        <w:rPr>
          <w:rFonts w:cstheme="minorHAnsi"/>
          <w:b/>
          <w:sz w:val="24"/>
          <w:szCs w:val="24"/>
          <w:u w:val="single"/>
        </w:rPr>
        <w:t>Policy 2610</w:t>
      </w:r>
      <w:r w:rsidR="00FE6F1B" w:rsidRPr="00883718">
        <w:rPr>
          <w:rFonts w:cstheme="minorHAnsi"/>
          <w:b/>
          <w:sz w:val="24"/>
          <w:szCs w:val="24"/>
          <w:u w:val="single"/>
        </w:rPr>
        <w:t xml:space="preserve"> – </w:t>
      </w:r>
      <w:r>
        <w:rPr>
          <w:rFonts w:cstheme="minorHAnsi"/>
          <w:b/>
          <w:sz w:val="24"/>
          <w:szCs w:val="24"/>
          <w:u w:val="single"/>
        </w:rPr>
        <w:t>ACH Operations</w:t>
      </w:r>
    </w:p>
    <w:p w:rsidR="006F0588" w:rsidRPr="00883718" w:rsidRDefault="006F0588" w:rsidP="006F0588">
      <w:pPr>
        <w:pStyle w:val="Default"/>
        <w:rPr>
          <w:rFonts w:asciiTheme="minorHAnsi" w:hAnsiTheme="minorHAnsi" w:cstheme="minorHAnsi"/>
          <w:b/>
          <w:color w:val="auto"/>
          <w:u w:val="single"/>
        </w:rPr>
      </w:pPr>
      <w:r>
        <w:rPr>
          <w:rFonts w:asciiTheme="minorHAnsi" w:hAnsiTheme="minorHAnsi" w:cstheme="minorHAnsi"/>
          <w:b/>
          <w:color w:val="auto"/>
          <w:u w:val="single"/>
        </w:rPr>
        <w:t>2017-3</w:t>
      </w:r>
    </w:p>
    <w:p w:rsidR="00B73E3F" w:rsidRDefault="006F0588" w:rsidP="006F0588">
      <w:pPr>
        <w:spacing w:after="0"/>
        <w:rPr>
          <w:rFonts w:cstheme="minorHAnsi"/>
          <w:sz w:val="24"/>
          <w:szCs w:val="24"/>
        </w:rPr>
      </w:pPr>
      <w:r>
        <w:rPr>
          <w:rFonts w:cstheme="minorHAnsi"/>
          <w:sz w:val="24"/>
          <w:szCs w:val="24"/>
        </w:rPr>
        <w:t>With Phase 2 of S</w:t>
      </w:r>
      <w:r w:rsidR="00FD3848">
        <w:rPr>
          <w:rFonts w:cstheme="minorHAnsi"/>
          <w:sz w:val="24"/>
          <w:szCs w:val="24"/>
        </w:rPr>
        <w:t>ame Day ACH becoming effective o</w:t>
      </w:r>
      <w:r>
        <w:rPr>
          <w:rFonts w:cstheme="minorHAnsi"/>
          <w:sz w:val="24"/>
          <w:szCs w:val="24"/>
        </w:rPr>
        <w:t>n September</w:t>
      </w:r>
      <w:r w:rsidR="00FD3848">
        <w:rPr>
          <w:rFonts w:cstheme="minorHAnsi"/>
          <w:sz w:val="24"/>
          <w:szCs w:val="24"/>
        </w:rPr>
        <w:t xml:space="preserve"> 17</w:t>
      </w:r>
      <w:r w:rsidR="00FD3848" w:rsidRPr="00FD3848">
        <w:rPr>
          <w:rFonts w:cstheme="minorHAnsi"/>
          <w:sz w:val="24"/>
          <w:szCs w:val="24"/>
          <w:vertAlign w:val="superscript"/>
        </w:rPr>
        <w:t>th</w:t>
      </w:r>
      <w:r>
        <w:rPr>
          <w:rFonts w:cstheme="minorHAnsi"/>
          <w:sz w:val="24"/>
          <w:szCs w:val="24"/>
        </w:rPr>
        <w:t xml:space="preserve">, this policy was updated to include the </w:t>
      </w:r>
      <w:r w:rsidR="00FD3848">
        <w:rPr>
          <w:rFonts w:cstheme="minorHAnsi"/>
          <w:sz w:val="24"/>
          <w:szCs w:val="24"/>
        </w:rPr>
        <w:t xml:space="preserve">addition of ACH debit entries being processed the same day. </w:t>
      </w:r>
    </w:p>
    <w:p w:rsidR="00FD3848" w:rsidRDefault="00FD3848" w:rsidP="006F0588">
      <w:pPr>
        <w:spacing w:after="0"/>
        <w:rPr>
          <w:rFonts w:cstheme="minorHAnsi"/>
          <w:sz w:val="24"/>
          <w:szCs w:val="24"/>
        </w:rPr>
      </w:pPr>
    </w:p>
    <w:p w:rsidR="00FD3848" w:rsidRDefault="00FD3848" w:rsidP="006F0588">
      <w:pPr>
        <w:spacing w:after="0"/>
        <w:rPr>
          <w:rFonts w:cstheme="minorHAnsi"/>
          <w:color w:val="FF0000"/>
          <w:sz w:val="24"/>
          <w:szCs w:val="24"/>
        </w:rPr>
      </w:pPr>
      <w:r w:rsidRPr="00FD3848">
        <w:rPr>
          <w:rFonts w:cstheme="minorHAnsi"/>
          <w:color w:val="FF0000"/>
          <w:sz w:val="24"/>
          <w:szCs w:val="24"/>
        </w:rPr>
        <w:t>(Required)</w:t>
      </w:r>
    </w:p>
    <w:p w:rsidR="00FD3848" w:rsidRDefault="00FD3848" w:rsidP="006F0588">
      <w:pPr>
        <w:spacing w:after="0"/>
        <w:rPr>
          <w:rFonts w:cstheme="minorHAnsi"/>
          <w:color w:val="FF0000"/>
          <w:sz w:val="24"/>
          <w:szCs w:val="24"/>
        </w:rPr>
      </w:pPr>
    </w:p>
    <w:p w:rsidR="00D16C95" w:rsidRDefault="00D16C95" w:rsidP="00D16C95">
      <w:pPr>
        <w:spacing w:after="0"/>
        <w:rPr>
          <w:rFonts w:cstheme="minorHAnsi"/>
          <w:color w:val="FF0000"/>
          <w:sz w:val="24"/>
          <w:szCs w:val="24"/>
        </w:rPr>
      </w:pPr>
      <w:r>
        <w:rPr>
          <w:rFonts w:cstheme="minorHAnsi"/>
          <w:b/>
          <w:sz w:val="24"/>
          <w:szCs w:val="24"/>
          <w:u w:val="single"/>
        </w:rPr>
        <w:t>Policy 2611 – ACH Management</w:t>
      </w:r>
    </w:p>
    <w:p w:rsidR="00D16C95" w:rsidRPr="00883718" w:rsidRDefault="00D16C95" w:rsidP="00D16C95">
      <w:pPr>
        <w:pStyle w:val="Default"/>
        <w:rPr>
          <w:rFonts w:asciiTheme="minorHAnsi" w:hAnsiTheme="minorHAnsi" w:cstheme="minorHAnsi"/>
          <w:b/>
          <w:color w:val="auto"/>
          <w:u w:val="single"/>
        </w:rPr>
      </w:pPr>
      <w:r>
        <w:rPr>
          <w:rFonts w:asciiTheme="minorHAnsi" w:hAnsiTheme="minorHAnsi" w:cstheme="minorHAnsi"/>
          <w:b/>
          <w:color w:val="auto"/>
          <w:u w:val="single"/>
        </w:rPr>
        <w:t>2017-3</w:t>
      </w:r>
    </w:p>
    <w:p w:rsidR="00D16C95" w:rsidRDefault="00D16C95" w:rsidP="00D16C95">
      <w:pPr>
        <w:spacing w:after="0"/>
        <w:rPr>
          <w:rFonts w:cstheme="minorHAnsi"/>
          <w:sz w:val="24"/>
          <w:szCs w:val="24"/>
        </w:rPr>
      </w:pPr>
      <w:r>
        <w:rPr>
          <w:rFonts w:cstheme="minorHAnsi"/>
          <w:sz w:val="24"/>
          <w:szCs w:val="24"/>
        </w:rPr>
        <w:t>Similar to the changes made to Policy 2610, this policy was updated to include the addition of ACH debit entries being processed the same day.  In addition, there were some other minor additions to the policy based on feedback credit unions received during their examinations.</w:t>
      </w:r>
    </w:p>
    <w:p w:rsidR="00D16C95" w:rsidRDefault="00D16C95" w:rsidP="00D16C95">
      <w:pPr>
        <w:spacing w:after="0"/>
        <w:rPr>
          <w:rFonts w:cstheme="minorHAnsi"/>
          <w:sz w:val="24"/>
          <w:szCs w:val="24"/>
        </w:rPr>
      </w:pPr>
    </w:p>
    <w:p w:rsidR="00D16C95" w:rsidRDefault="00D16C95" w:rsidP="00D16C95">
      <w:pPr>
        <w:spacing w:after="0"/>
        <w:rPr>
          <w:rFonts w:cstheme="minorHAnsi"/>
          <w:color w:val="FF0000"/>
          <w:sz w:val="24"/>
          <w:szCs w:val="24"/>
        </w:rPr>
      </w:pPr>
      <w:r w:rsidRPr="00FD3848">
        <w:rPr>
          <w:rFonts w:cstheme="minorHAnsi"/>
          <w:color w:val="FF0000"/>
          <w:sz w:val="24"/>
          <w:szCs w:val="24"/>
        </w:rPr>
        <w:t>(Required)</w:t>
      </w:r>
    </w:p>
    <w:p w:rsidR="004D27C8" w:rsidRDefault="004D27C8" w:rsidP="00D16C95">
      <w:pPr>
        <w:spacing w:after="0"/>
        <w:rPr>
          <w:rFonts w:cstheme="minorHAnsi"/>
          <w:color w:val="FF0000"/>
          <w:sz w:val="24"/>
          <w:szCs w:val="24"/>
        </w:rPr>
      </w:pPr>
    </w:p>
    <w:p w:rsidR="00D16C95" w:rsidRDefault="00D16C95" w:rsidP="00C82E7B">
      <w:pPr>
        <w:rPr>
          <w:rFonts w:cstheme="minorHAnsi"/>
          <w:color w:val="FF0000"/>
          <w:sz w:val="24"/>
          <w:szCs w:val="24"/>
        </w:rPr>
      </w:pPr>
      <w:r>
        <w:rPr>
          <w:rFonts w:cstheme="minorHAnsi"/>
          <w:b/>
          <w:sz w:val="24"/>
          <w:szCs w:val="24"/>
          <w:u w:val="single"/>
        </w:rPr>
        <w:t>Policy 2612 – ACH Audit</w:t>
      </w:r>
    </w:p>
    <w:p w:rsidR="00D16C95" w:rsidRPr="00883718" w:rsidRDefault="00D16C95" w:rsidP="00D16C95">
      <w:pPr>
        <w:pStyle w:val="Default"/>
        <w:rPr>
          <w:rFonts w:asciiTheme="minorHAnsi" w:hAnsiTheme="minorHAnsi" w:cstheme="minorHAnsi"/>
          <w:b/>
          <w:color w:val="auto"/>
          <w:u w:val="single"/>
        </w:rPr>
      </w:pPr>
      <w:r>
        <w:rPr>
          <w:rFonts w:asciiTheme="minorHAnsi" w:hAnsiTheme="minorHAnsi" w:cstheme="minorHAnsi"/>
          <w:b/>
          <w:color w:val="auto"/>
          <w:u w:val="single"/>
        </w:rPr>
        <w:t>2017-3</w:t>
      </w:r>
    </w:p>
    <w:p w:rsidR="00D16C95" w:rsidRDefault="00D16C95" w:rsidP="00D16C95">
      <w:pPr>
        <w:spacing w:after="0"/>
        <w:rPr>
          <w:rFonts w:cstheme="minorHAnsi"/>
          <w:sz w:val="24"/>
          <w:szCs w:val="24"/>
        </w:rPr>
      </w:pPr>
      <w:r>
        <w:rPr>
          <w:rFonts w:cstheme="minorHAnsi"/>
          <w:sz w:val="24"/>
          <w:szCs w:val="24"/>
        </w:rPr>
        <w:t>Similar to the changes made to Policy 2610 and Policy 2611, this policy was updated to include the addition of ACH debit entries being processed the same day.</w:t>
      </w:r>
    </w:p>
    <w:p w:rsidR="00D16C95" w:rsidRDefault="00D16C95" w:rsidP="00D16C95">
      <w:pPr>
        <w:spacing w:after="0"/>
        <w:rPr>
          <w:rFonts w:cstheme="minorHAnsi"/>
          <w:sz w:val="24"/>
          <w:szCs w:val="24"/>
        </w:rPr>
      </w:pPr>
    </w:p>
    <w:p w:rsidR="00D16C95" w:rsidRDefault="00D16C95" w:rsidP="00D16C95">
      <w:pPr>
        <w:spacing w:after="0"/>
        <w:rPr>
          <w:rFonts w:cstheme="minorHAnsi"/>
          <w:color w:val="FF0000"/>
          <w:sz w:val="24"/>
          <w:szCs w:val="24"/>
        </w:rPr>
      </w:pPr>
      <w:r w:rsidRPr="00FD3848">
        <w:rPr>
          <w:rFonts w:cstheme="minorHAnsi"/>
          <w:color w:val="FF0000"/>
          <w:sz w:val="24"/>
          <w:szCs w:val="24"/>
        </w:rPr>
        <w:t>(Required)</w:t>
      </w:r>
    </w:p>
    <w:p w:rsidR="00D16C95" w:rsidRDefault="00D16C95" w:rsidP="006F0588">
      <w:pPr>
        <w:spacing w:after="0"/>
        <w:rPr>
          <w:rFonts w:cstheme="minorHAnsi"/>
          <w:color w:val="FF0000"/>
          <w:sz w:val="24"/>
          <w:szCs w:val="24"/>
        </w:rPr>
      </w:pPr>
    </w:p>
    <w:p w:rsidR="00D16C95" w:rsidRDefault="00D16C95" w:rsidP="00D16C95">
      <w:pPr>
        <w:spacing w:after="0"/>
        <w:rPr>
          <w:rFonts w:cstheme="minorHAnsi"/>
          <w:color w:val="FF0000"/>
          <w:sz w:val="24"/>
          <w:szCs w:val="24"/>
        </w:rPr>
      </w:pPr>
      <w:r>
        <w:rPr>
          <w:rFonts w:cstheme="minorHAnsi"/>
          <w:b/>
          <w:sz w:val="24"/>
          <w:szCs w:val="24"/>
          <w:u w:val="single"/>
        </w:rPr>
        <w:t>Policy 6220 – Non-Deposit Investment Products</w:t>
      </w:r>
    </w:p>
    <w:p w:rsidR="00D16C95" w:rsidRPr="00883718" w:rsidRDefault="00D16C95" w:rsidP="00D16C95">
      <w:pPr>
        <w:pStyle w:val="Default"/>
        <w:rPr>
          <w:rFonts w:asciiTheme="minorHAnsi" w:hAnsiTheme="minorHAnsi" w:cstheme="minorHAnsi"/>
          <w:b/>
          <w:color w:val="auto"/>
          <w:u w:val="single"/>
        </w:rPr>
      </w:pPr>
      <w:r>
        <w:rPr>
          <w:rFonts w:asciiTheme="minorHAnsi" w:hAnsiTheme="minorHAnsi" w:cstheme="minorHAnsi"/>
          <w:b/>
          <w:color w:val="auto"/>
          <w:u w:val="single"/>
        </w:rPr>
        <w:t>2017-3</w:t>
      </w:r>
    </w:p>
    <w:p w:rsidR="00043EE3" w:rsidRDefault="00043EE3" w:rsidP="00043EE3">
      <w:pPr>
        <w:spacing w:after="0"/>
        <w:rPr>
          <w:rFonts w:cstheme="minorHAnsi"/>
          <w:sz w:val="24"/>
          <w:szCs w:val="24"/>
        </w:rPr>
      </w:pPr>
      <w:r>
        <w:rPr>
          <w:rFonts w:cstheme="minorHAnsi"/>
          <w:sz w:val="24"/>
          <w:szCs w:val="24"/>
        </w:rPr>
        <w:t xml:space="preserve">Similar to the changes made to Policy 2212, this policy was revised to include changes made to the </w:t>
      </w:r>
      <w:hyperlink r:id="rId10" w:history="1">
        <w:r w:rsidRPr="00FB3840">
          <w:rPr>
            <w:rStyle w:val="Hyperlink"/>
            <w:rFonts w:cstheme="minorHAnsi"/>
            <w:sz w:val="24"/>
            <w:szCs w:val="24"/>
          </w:rPr>
          <w:t xml:space="preserve">Department of Labor’s expanded definition of a fiduciary under the </w:t>
        </w:r>
        <w:r>
          <w:rPr>
            <w:rStyle w:val="Hyperlink"/>
            <w:rFonts w:cstheme="minorHAnsi"/>
            <w:sz w:val="24"/>
            <w:szCs w:val="24"/>
          </w:rPr>
          <w:t xml:space="preserve">Conflict of Interest </w:t>
        </w:r>
        <w:r w:rsidRPr="00FB3840">
          <w:rPr>
            <w:rStyle w:val="Hyperlink"/>
            <w:rFonts w:cstheme="minorHAnsi"/>
            <w:sz w:val="24"/>
            <w:szCs w:val="24"/>
          </w:rPr>
          <w:t>rules</w:t>
        </w:r>
      </w:hyperlink>
      <w:r>
        <w:rPr>
          <w:rFonts w:cstheme="minorHAnsi"/>
          <w:sz w:val="24"/>
          <w:szCs w:val="24"/>
        </w:rPr>
        <w:t xml:space="preserve"> that become</w:t>
      </w:r>
      <w:r w:rsidR="000029A6">
        <w:rPr>
          <w:rFonts w:cstheme="minorHAnsi"/>
          <w:sz w:val="24"/>
          <w:szCs w:val="24"/>
        </w:rPr>
        <w:t>s</w:t>
      </w:r>
      <w:r>
        <w:rPr>
          <w:rFonts w:cstheme="minorHAnsi"/>
          <w:sz w:val="24"/>
          <w:szCs w:val="24"/>
        </w:rPr>
        <w:t xml:space="preserve"> applicable to credit unions on June 9, 2017.</w:t>
      </w:r>
    </w:p>
    <w:p w:rsidR="00043EE3" w:rsidRDefault="00043EE3" w:rsidP="00043EE3">
      <w:pPr>
        <w:spacing w:after="0"/>
        <w:rPr>
          <w:rFonts w:cstheme="minorHAnsi"/>
          <w:sz w:val="24"/>
          <w:szCs w:val="24"/>
        </w:rPr>
      </w:pPr>
    </w:p>
    <w:p w:rsidR="00043EE3" w:rsidRPr="004D27C8" w:rsidRDefault="00043EE3" w:rsidP="00043EE3">
      <w:pPr>
        <w:spacing w:after="0"/>
        <w:rPr>
          <w:rFonts w:cstheme="minorHAnsi"/>
          <w:color w:val="FF0000"/>
          <w:sz w:val="24"/>
          <w:szCs w:val="24"/>
        </w:rPr>
      </w:pPr>
      <w:r w:rsidRPr="004D27C8">
        <w:rPr>
          <w:rFonts w:cstheme="minorHAnsi"/>
          <w:color w:val="FF0000"/>
          <w:sz w:val="24"/>
          <w:szCs w:val="24"/>
        </w:rPr>
        <w:t>(Recommended)</w:t>
      </w:r>
    </w:p>
    <w:p w:rsidR="00D16C95" w:rsidRPr="004E0513" w:rsidRDefault="00D16C95" w:rsidP="006F0588">
      <w:pPr>
        <w:spacing w:after="0"/>
        <w:rPr>
          <w:rFonts w:cstheme="minorHAnsi"/>
          <w:sz w:val="24"/>
          <w:szCs w:val="24"/>
        </w:rPr>
      </w:pPr>
    </w:p>
    <w:p w:rsidR="004D27C8" w:rsidRDefault="004D27C8" w:rsidP="004D27C8">
      <w:pPr>
        <w:spacing w:after="0"/>
        <w:rPr>
          <w:rFonts w:cstheme="minorHAnsi"/>
          <w:b/>
          <w:sz w:val="24"/>
          <w:szCs w:val="24"/>
          <w:u w:val="single"/>
        </w:rPr>
      </w:pPr>
      <w:r>
        <w:rPr>
          <w:rFonts w:cstheme="minorHAnsi"/>
          <w:b/>
          <w:sz w:val="24"/>
          <w:szCs w:val="24"/>
          <w:u w:val="single"/>
        </w:rPr>
        <w:t>Policy 7120 – Fair Lending</w:t>
      </w:r>
    </w:p>
    <w:p w:rsidR="004D27C8" w:rsidRDefault="004D27C8" w:rsidP="004D27C8">
      <w:pPr>
        <w:spacing w:after="0"/>
        <w:rPr>
          <w:rFonts w:cstheme="minorHAnsi"/>
          <w:b/>
          <w:sz w:val="24"/>
          <w:szCs w:val="24"/>
          <w:u w:val="single"/>
        </w:rPr>
      </w:pPr>
      <w:r>
        <w:rPr>
          <w:rFonts w:cstheme="minorHAnsi"/>
          <w:b/>
          <w:sz w:val="24"/>
          <w:szCs w:val="24"/>
          <w:u w:val="single"/>
        </w:rPr>
        <w:t>2017-3</w:t>
      </w:r>
    </w:p>
    <w:p w:rsidR="004D27C8" w:rsidRDefault="004D27C8" w:rsidP="004D27C8">
      <w:pPr>
        <w:spacing w:after="0"/>
        <w:rPr>
          <w:rFonts w:cstheme="minorHAnsi"/>
          <w:sz w:val="24"/>
          <w:szCs w:val="24"/>
        </w:rPr>
      </w:pPr>
      <w:r>
        <w:rPr>
          <w:rFonts w:cstheme="minorHAnsi"/>
          <w:sz w:val="24"/>
          <w:szCs w:val="24"/>
        </w:rPr>
        <w:t>Based on the</w:t>
      </w:r>
      <w:r w:rsidR="0086795C">
        <w:rPr>
          <w:rFonts w:cstheme="minorHAnsi"/>
          <w:sz w:val="24"/>
          <w:szCs w:val="24"/>
        </w:rPr>
        <w:t xml:space="preserve"> feedback from credit unions that</w:t>
      </w:r>
      <w:r>
        <w:rPr>
          <w:rFonts w:cstheme="minorHAnsi"/>
          <w:sz w:val="24"/>
          <w:szCs w:val="24"/>
        </w:rPr>
        <w:t xml:space="preserve"> have undergone a Fair Lending review, more detail was added to Policy 7120 on employee training and the review of complaints by Management.</w:t>
      </w:r>
    </w:p>
    <w:p w:rsidR="004D27C8" w:rsidRDefault="004D27C8" w:rsidP="004D27C8">
      <w:pPr>
        <w:spacing w:after="0"/>
        <w:rPr>
          <w:rFonts w:cstheme="minorHAnsi"/>
          <w:sz w:val="24"/>
          <w:szCs w:val="24"/>
        </w:rPr>
      </w:pPr>
    </w:p>
    <w:p w:rsidR="004D27C8" w:rsidRPr="004D27C8" w:rsidRDefault="004D27C8" w:rsidP="004D27C8">
      <w:pPr>
        <w:spacing w:after="0"/>
        <w:rPr>
          <w:rFonts w:cstheme="minorHAnsi"/>
          <w:color w:val="FF0000"/>
          <w:sz w:val="24"/>
          <w:szCs w:val="24"/>
        </w:rPr>
      </w:pPr>
      <w:r w:rsidRPr="004D27C8">
        <w:rPr>
          <w:rFonts w:cstheme="minorHAnsi"/>
          <w:color w:val="FF0000"/>
          <w:sz w:val="24"/>
          <w:szCs w:val="24"/>
        </w:rPr>
        <w:t>(Recommended)</w:t>
      </w:r>
    </w:p>
    <w:p w:rsidR="004D27C8" w:rsidRDefault="004D27C8" w:rsidP="004D27C8">
      <w:pPr>
        <w:spacing w:after="0"/>
        <w:rPr>
          <w:rFonts w:cstheme="minorHAnsi"/>
          <w:b/>
          <w:sz w:val="24"/>
          <w:szCs w:val="24"/>
          <w:u w:val="single"/>
        </w:rPr>
      </w:pPr>
    </w:p>
    <w:p w:rsidR="004D27C8" w:rsidRPr="004E0513" w:rsidRDefault="004D27C8" w:rsidP="004D27C8">
      <w:pPr>
        <w:spacing w:after="0"/>
        <w:rPr>
          <w:rFonts w:cstheme="minorHAnsi"/>
          <w:b/>
          <w:sz w:val="24"/>
          <w:szCs w:val="24"/>
          <w:u w:val="single"/>
        </w:rPr>
      </w:pPr>
      <w:r w:rsidRPr="004E0513">
        <w:rPr>
          <w:rFonts w:cstheme="minorHAnsi"/>
          <w:b/>
          <w:sz w:val="24"/>
          <w:szCs w:val="24"/>
          <w:u w:val="single"/>
        </w:rPr>
        <w:t>Policy 7213 – Military Personnel Loans</w:t>
      </w:r>
    </w:p>
    <w:p w:rsidR="004D27C8" w:rsidRPr="004E0513" w:rsidRDefault="004D27C8" w:rsidP="004D27C8">
      <w:pPr>
        <w:spacing w:after="0"/>
        <w:rPr>
          <w:rFonts w:cstheme="minorHAnsi"/>
          <w:b/>
          <w:sz w:val="24"/>
          <w:szCs w:val="24"/>
          <w:u w:val="single"/>
        </w:rPr>
      </w:pPr>
      <w:r w:rsidRPr="004E0513">
        <w:rPr>
          <w:rFonts w:cstheme="minorHAnsi"/>
          <w:b/>
          <w:sz w:val="24"/>
          <w:szCs w:val="24"/>
          <w:u w:val="single"/>
        </w:rPr>
        <w:t>2017-3</w:t>
      </w:r>
    </w:p>
    <w:p w:rsidR="004D27C8" w:rsidRDefault="004D27C8" w:rsidP="004D27C8">
      <w:pPr>
        <w:spacing w:after="0"/>
        <w:rPr>
          <w:rFonts w:cstheme="minorHAnsi"/>
          <w:color w:val="FF0000"/>
          <w:sz w:val="24"/>
          <w:szCs w:val="24"/>
        </w:rPr>
      </w:pPr>
      <w:r w:rsidRPr="004E0513">
        <w:rPr>
          <w:rFonts w:cstheme="minorHAnsi"/>
          <w:sz w:val="24"/>
          <w:szCs w:val="24"/>
        </w:rPr>
        <w:t xml:space="preserve">This policy was revised to include additional information on the Military Annual Percentage Rate (MAPR) calculation for credit cards with the </w:t>
      </w:r>
      <w:hyperlink r:id="rId11" w:history="1">
        <w:r w:rsidRPr="00321404">
          <w:rPr>
            <w:rStyle w:val="Hyperlink"/>
            <w:rFonts w:cstheme="minorHAnsi"/>
            <w:sz w:val="24"/>
            <w:szCs w:val="24"/>
          </w:rPr>
          <w:t>Military Lending Act</w:t>
        </w:r>
      </w:hyperlink>
      <w:r w:rsidRPr="004E0513">
        <w:rPr>
          <w:rFonts w:cstheme="minorHAnsi"/>
          <w:sz w:val="24"/>
          <w:szCs w:val="24"/>
        </w:rPr>
        <w:t>, along with the exclusion of certain bona fide, reasonable fees.  Compliance is mandatory as of October 3, 2017.</w:t>
      </w:r>
    </w:p>
    <w:p w:rsidR="004D27C8" w:rsidRDefault="004D27C8" w:rsidP="004D27C8">
      <w:pPr>
        <w:spacing w:after="0"/>
        <w:rPr>
          <w:rFonts w:cstheme="minorHAnsi"/>
          <w:color w:val="FF0000"/>
          <w:sz w:val="24"/>
          <w:szCs w:val="24"/>
        </w:rPr>
      </w:pPr>
    </w:p>
    <w:p w:rsidR="004D27C8" w:rsidRPr="004E0513" w:rsidRDefault="004D27C8" w:rsidP="004D27C8">
      <w:pPr>
        <w:spacing w:after="0"/>
        <w:rPr>
          <w:rFonts w:cstheme="minorHAnsi"/>
          <w:color w:val="FF0000"/>
          <w:sz w:val="24"/>
          <w:szCs w:val="24"/>
        </w:rPr>
      </w:pPr>
      <w:r w:rsidRPr="004E0513">
        <w:rPr>
          <w:rFonts w:cstheme="minorHAnsi"/>
          <w:color w:val="FF0000"/>
          <w:sz w:val="24"/>
          <w:szCs w:val="24"/>
        </w:rPr>
        <w:t>(Required)</w:t>
      </w:r>
    </w:p>
    <w:p w:rsidR="004D27C8" w:rsidRDefault="004D27C8" w:rsidP="006F0588">
      <w:pPr>
        <w:spacing w:after="0"/>
        <w:rPr>
          <w:rFonts w:cstheme="minorHAnsi"/>
          <w:b/>
          <w:sz w:val="24"/>
          <w:szCs w:val="24"/>
          <w:u w:val="single"/>
        </w:rPr>
      </w:pPr>
    </w:p>
    <w:p w:rsidR="00993D53" w:rsidRPr="004E0513" w:rsidRDefault="00993D53" w:rsidP="006F0588">
      <w:pPr>
        <w:spacing w:after="0"/>
        <w:rPr>
          <w:rFonts w:cstheme="minorHAnsi"/>
          <w:b/>
          <w:sz w:val="24"/>
          <w:szCs w:val="24"/>
          <w:u w:val="single"/>
        </w:rPr>
      </w:pPr>
      <w:r w:rsidRPr="004E0513">
        <w:rPr>
          <w:rFonts w:cstheme="minorHAnsi"/>
          <w:b/>
          <w:sz w:val="24"/>
          <w:szCs w:val="24"/>
          <w:u w:val="single"/>
        </w:rPr>
        <w:t>Policy 7360 – Mortgage Servicing Rules</w:t>
      </w:r>
    </w:p>
    <w:p w:rsidR="00993D53" w:rsidRPr="004E0513" w:rsidRDefault="00993D53" w:rsidP="006F0588">
      <w:pPr>
        <w:spacing w:after="0"/>
        <w:rPr>
          <w:rFonts w:cstheme="minorHAnsi"/>
          <w:b/>
          <w:sz w:val="24"/>
          <w:szCs w:val="24"/>
          <w:u w:val="single"/>
        </w:rPr>
      </w:pPr>
      <w:r w:rsidRPr="004E0513">
        <w:rPr>
          <w:rFonts w:cstheme="minorHAnsi"/>
          <w:b/>
          <w:sz w:val="24"/>
          <w:szCs w:val="24"/>
          <w:u w:val="single"/>
        </w:rPr>
        <w:t>2017-3</w:t>
      </w:r>
    </w:p>
    <w:p w:rsidR="004E0513" w:rsidRDefault="004E0513" w:rsidP="004E0513">
      <w:pPr>
        <w:spacing w:after="0"/>
        <w:rPr>
          <w:rFonts w:cstheme="minorHAnsi"/>
          <w:sz w:val="24"/>
          <w:szCs w:val="24"/>
        </w:rPr>
      </w:pPr>
      <w:r>
        <w:rPr>
          <w:rFonts w:cstheme="minorHAnsi"/>
          <w:sz w:val="24"/>
          <w:szCs w:val="24"/>
        </w:rPr>
        <w:lastRenderedPageBreak/>
        <w:t xml:space="preserve">Policy 7360 was revised to incorporate the first set of changes to the </w:t>
      </w:r>
      <w:hyperlink r:id="rId12" w:history="1">
        <w:r w:rsidRPr="00993D53">
          <w:rPr>
            <w:rStyle w:val="Hyperlink"/>
            <w:rFonts w:cstheme="minorHAnsi"/>
            <w:sz w:val="24"/>
            <w:szCs w:val="24"/>
          </w:rPr>
          <w:t>CFPB’s Mortgage Servicing</w:t>
        </w:r>
      </w:hyperlink>
      <w:r>
        <w:rPr>
          <w:rFonts w:cstheme="minorHAnsi"/>
          <w:sz w:val="24"/>
          <w:szCs w:val="24"/>
        </w:rPr>
        <w:t xml:space="preserve"> rules that become effective on October 19, 2017.  In order to assist credit unions prepare and obtain Board approval, this</w:t>
      </w:r>
      <w:r w:rsidR="002B1659">
        <w:rPr>
          <w:rFonts w:cstheme="minorHAnsi"/>
          <w:sz w:val="24"/>
          <w:szCs w:val="24"/>
        </w:rPr>
        <w:t xml:space="preserve"> policy was revised ahead of the effective date, but shoul</w:t>
      </w:r>
      <w:r>
        <w:rPr>
          <w:rFonts w:cstheme="minorHAnsi"/>
          <w:sz w:val="24"/>
          <w:szCs w:val="24"/>
        </w:rPr>
        <w:t xml:space="preserve">dn’t be adopted </w:t>
      </w:r>
      <w:r w:rsidR="002B1659">
        <w:rPr>
          <w:rFonts w:cstheme="minorHAnsi"/>
          <w:sz w:val="24"/>
          <w:szCs w:val="24"/>
        </w:rPr>
        <w:t xml:space="preserve">by the Board </w:t>
      </w:r>
      <w:r>
        <w:rPr>
          <w:rFonts w:cstheme="minorHAnsi"/>
          <w:sz w:val="24"/>
          <w:szCs w:val="24"/>
        </w:rPr>
        <w:t>until the effective date.</w:t>
      </w:r>
    </w:p>
    <w:p w:rsidR="002B1659" w:rsidRDefault="002B1659" w:rsidP="004E0513">
      <w:pPr>
        <w:spacing w:after="0"/>
        <w:rPr>
          <w:rFonts w:cstheme="minorHAnsi"/>
          <w:sz w:val="24"/>
          <w:szCs w:val="24"/>
        </w:rPr>
      </w:pPr>
    </w:p>
    <w:p w:rsidR="002B1659" w:rsidRDefault="002B1659" w:rsidP="002B1659">
      <w:pPr>
        <w:spacing w:after="0"/>
        <w:rPr>
          <w:rFonts w:cstheme="minorHAnsi"/>
          <w:color w:val="FF0000"/>
          <w:sz w:val="24"/>
          <w:szCs w:val="24"/>
        </w:rPr>
      </w:pPr>
      <w:r w:rsidRPr="00FD3848">
        <w:rPr>
          <w:rFonts w:cstheme="minorHAnsi"/>
          <w:color w:val="FF0000"/>
          <w:sz w:val="24"/>
          <w:szCs w:val="24"/>
        </w:rPr>
        <w:t>(Required)</w:t>
      </w:r>
    </w:p>
    <w:p w:rsidR="004E0513" w:rsidRPr="004E0513" w:rsidRDefault="004E0513" w:rsidP="006F0588">
      <w:pPr>
        <w:spacing w:after="0"/>
        <w:rPr>
          <w:rFonts w:cstheme="minorHAnsi"/>
          <w:sz w:val="24"/>
          <w:szCs w:val="24"/>
        </w:rPr>
      </w:pPr>
    </w:p>
    <w:p w:rsidR="002B1659" w:rsidRPr="004E0513" w:rsidRDefault="002B1659" w:rsidP="002B1659">
      <w:pPr>
        <w:spacing w:after="0"/>
        <w:rPr>
          <w:rFonts w:cstheme="minorHAnsi"/>
          <w:b/>
          <w:sz w:val="24"/>
          <w:szCs w:val="24"/>
          <w:u w:val="single"/>
        </w:rPr>
      </w:pPr>
      <w:r>
        <w:rPr>
          <w:rFonts w:cstheme="minorHAnsi"/>
          <w:b/>
          <w:sz w:val="24"/>
          <w:szCs w:val="24"/>
          <w:u w:val="single"/>
        </w:rPr>
        <w:t>Policy 7361</w:t>
      </w:r>
      <w:r w:rsidRPr="004E0513">
        <w:rPr>
          <w:rFonts w:cstheme="minorHAnsi"/>
          <w:b/>
          <w:sz w:val="24"/>
          <w:szCs w:val="24"/>
          <w:u w:val="single"/>
        </w:rPr>
        <w:t xml:space="preserve"> – </w:t>
      </w:r>
      <w:r>
        <w:rPr>
          <w:rFonts w:cstheme="minorHAnsi"/>
          <w:b/>
          <w:sz w:val="24"/>
          <w:szCs w:val="24"/>
          <w:u w:val="single"/>
        </w:rPr>
        <w:t xml:space="preserve">Small Servicer </w:t>
      </w:r>
      <w:r w:rsidRPr="004E0513">
        <w:rPr>
          <w:rFonts w:cstheme="minorHAnsi"/>
          <w:b/>
          <w:sz w:val="24"/>
          <w:szCs w:val="24"/>
          <w:u w:val="single"/>
        </w:rPr>
        <w:t>Mortgage Servicing Rules</w:t>
      </w:r>
    </w:p>
    <w:p w:rsidR="002B1659" w:rsidRPr="004E0513" w:rsidRDefault="002B1659" w:rsidP="002B1659">
      <w:pPr>
        <w:spacing w:after="0"/>
        <w:rPr>
          <w:rFonts w:cstheme="minorHAnsi"/>
          <w:b/>
          <w:sz w:val="24"/>
          <w:szCs w:val="24"/>
          <w:u w:val="single"/>
        </w:rPr>
      </w:pPr>
      <w:r w:rsidRPr="004E0513">
        <w:rPr>
          <w:rFonts w:cstheme="minorHAnsi"/>
          <w:b/>
          <w:sz w:val="24"/>
          <w:szCs w:val="24"/>
          <w:u w:val="single"/>
        </w:rPr>
        <w:t>2017-3</w:t>
      </w:r>
    </w:p>
    <w:p w:rsidR="002B1659" w:rsidRDefault="002B1659" w:rsidP="002B1659">
      <w:pPr>
        <w:spacing w:after="0"/>
        <w:rPr>
          <w:rFonts w:cstheme="minorHAnsi"/>
          <w:sz w:val="24"/>
          <w:szCs w:val="24"/>
        </w:rPr>
      </w:pPr>
      <w:r>
        <w:rPr>
          <w:rFonts w:cstheme="minorHAnsi"/>
          <w:sz w:val="24"/>
          <w:szCs w:val="24"/>
        </w:rPr>
        <w:t xml:space="preserve">Policy 7361 was revised to incorporate the first set of changes to the </w:t>
      </w:r>
      <w:hyperlink r:id="rId13" w:history="1">
        <w:r w:rsidRPr="00993D53">
          <w:rPr>
            <w:rStyle w:val="Hyperlink"/>
            <w:rFonts w:cstheme="minorHAnsi"/>
            <w:sz w:val="24"/>
            <w:szCs w:val="24"/>
          </w:rPr>
          <w:t>CFPB’s Mortgage Servicing</w:t>
        </w:r>
      </w:hyperlink>
      <w:r>
        <w:rPr>
          <w:rFonts w:cstheme="minorHAnsi"/>
          <w:sz w:val="24"/>
          <w:szCs w:val="24"/>
        </w:rPr>
        <w:t xml:space="preserve"> rules that become effective on October 19, 2017.  In order to assist credit unions prepare and obtain Board approval, this policy was revised ahead of the effective date, but shouldn’t be adopted by the Board until the effective date.</w:t>
      </w:r>
    </w:p>
    <w:p w:rsidR="002B1659" w:rsidRDefault="002B1659" w:rsidP="002B1659">
      <w:pPr>
        <w:spacing w:after="0"/>
        <w:rPr>
          <w:rFonts w:cstheme="minorHAnsi"/>
          <w:sz w:val="24"/>
          <w:szCs w:val="24"/>
        </w:rPr>
      </w:pPr>
    </w:p>
    <w:p w:rsidR="002B1659" w:rsidRDefault="002B1659" w:rsidP="002B1659">
      <w:pPr>
        <w:spacing w:after="0"/>
        <w:rPr>
          <w:rFonts w:cstheme="minorHAnsi"/>
          <w:color w:val="FF0000"/>
          <w:sz w:val="24"/>
          <w:szCs w:val="24"/>
        </w:rPr>
      </w:pPr>
      <w:r w:rsidRPr="00FD3848">
        <w:rPr>
          <w:rFonts w:cstheme="minorHAnsi"/>
          <w:color w:val="FF0000"/>
          <w:sz w:val="24"/>
          <w:szCs w:val="24"/>
        </w:rPr>
        <w:t>(Required)</w:t>
      </w:r>
    </w:p>
    <w:p w:rsidR="00C82E7B" w:rsidRDefault="00C82E7B" w:rsidP="006F0588">
      <w:pPr>
        <w:spacing w:after="0"/>
        <w:rPr>
          <w:rFonts w:cstheme="minorHAnsi"/>
          <w:sz w:val="24"/>
          <w:szCs w:val="24"/>
        </w:rPr>
      </w:pPr>
    </w:p>
    <w:p w:rsidR="00227D60" w:rsidRPr="00227D60" w:rsidRDefault="00227D60" w:rsidP="006F0588">
      <w:pPr>
        <w:spacing w:after="0"/>
        <w:rPr>
          <w:rFonts w:cstheme="minorHAnsi"/>
          <w:b/>
          <w:sz w:val="24"/>
          <w:szCs w:val="24"/>
          <w:u w:val="single"/>
        </w:rPr>
      </w:pPr>
      <w:r w:rsidRPr="00227D60">
        <w:rPr>
          <w:rFonts w:cstheme="minorHAnsi"/>
          <w:b/>
          <w:sz w:val="24"/>
          <w:szCs w:val="24"/>
          <w:u w:val="single"/>
        </w:rPr>
        <w:t>Policy 8100 – General OREO Policy</w:t>
      </w:r>
    </w:p>
    <w:p w:rsidR="00227D60" w:rsidRPr="00227D60" w:rsidRDefault="00227D60" w:rsidP="006F0588">
      <w:pPr>
        <w:spacing w:after="0"/>
        <w:rPr>
          <w:rFonts w:cstheme="minorHAnsi"/>
          <w:b/>
          <w:sz w:val="24"/>
          <w:szCs w:val="24"/>
          <w:u w:val="single"/>
        </w:rPr>
      </w:pPr>
      <w:r w:rsidRPr="00227D60">
        <w:rPr>
          <w:rFonts w:cstheme="minorHAnsi"/>
          <w:b/>
          <w:sz w:val="24"/>
          <w:szCs w:val="24"/>
          <w:u w:val="single"/>
        </w:rPr>
        <w:t>2017-3</w:t>
      </w:r>
    </w:p>
    <w:p w:rsidR="00227D60" w:rsidRDefault="00227D60" w:rsidP="006F0588">
      <w:pPr>
        <w:spacing w:after="0"/>
        <w:rPr>
          <w:rFonts w:cstheme="minorHAnsi"/>
          <w:sz w:val="24"/>
          <w:szCs w:val="24"/>
        </w:rPr>
      </w:pPr>
      <w:r>
        <w:rPr>
          <w:rFonts w:cstheme="minorHAnsi"/>
          <w:sz w:val="24"/>
          <w:szCs w:val="24"/>
        </w:rPr>
        <w:t xml:space="preserve">Policy 8100 was revised to coincide with </w:t>
      </w:r>
      <w:hyperlink r:id="rId14" w:history="1">
        <w:r w:rsidRPr="00227D60">
          <w:rPr>
            <w:rStyle w:val="Hyperlink"/>
            <w:rFonts w:cstheme="minorHAnsi"/>
            <w:sz w:val="24"/>
            <w:szCs w:val="24"/>
          </w:rPr>
          <w:t>NCUA’s Letter to Credit Unions (08-CU-25)</w:t>
        </w:r>
      </w:hyperlink>
      <w:r>
        <w:rPr>
          <w:rFonts w:cstheme="minorHAnsi"/>
          <w:sz w:val="24"/>
          <w:szCs w:val="24"/>
        </w:rPr>
        <w:t>.  While there was no regulatory changes, the holding period was revised to remove the previous 3 year timeframe, establishing a best practice of 12 months, with the ability to retain property longer if risks are assessed and properly mitigated.</w:t>
      </w:r>
    </w:p>
    <w:p w:rsidR="00227D60" w:rsidRDefault="00227D60" w:rsidP="006F0588">
      <w:pPr>
        <w:spacing w:after="0"/>
        <w:rPr>
          <w:rFonts w:cstheme="minorHAnsi"/>
          <w:sz w:val="24"/>
          <w:szCs w:val="24"/>
        </w:rPr>
      </w:pPr>
    </w:p>
    <w:p w:rsidR="00227D60" w:rsidRPr="00227D60" w:rsidRDefault="00227D60" w:rsidP="006F0588">
      <w:pPr>
        <w:spacing w:after="0"/>
        <w:rPr>
          <w:rFonts w:cstheme="minorHAnsi"/>
          <w:color w:val="FF0000"/>
          <w:sz w:val="24"/>
          <w:szCs w:val="24"/>
        </w:rPr>
      </w:pPr>
      <w:r w:rsidRPr="00227D60">
        <w:rPr>
          <w:rFonts w:cstheme="minorHAnsi"/>
          <w:color w:val="FF0000"/>
          <w:sz w:val="24"/>
          <w:szCs w:val="24"/>
        </w:rPr>
        <w:t>(Recommended)</w:t>
      </w:r>
    </w:p>
    <w:p w:rsidR="002B1659" w:rsidRPr="004E0513" w:rsidRDefault="002B1659" w:rsidP="006F0588">
      <w:pPr>
        <w:spacing w:after="0"/>
        <w:rPr>
          <w:rFonts w:cstheme="minorHAnsi"/>
          <w:sz w:val="24"/>
          <w:szCs w:val="24"/>
        </w:rPr>
      </w:pPr>
    </w:p>
    <w:p w:rsidR="002B1659" w:rsidRPr="00C10284" w:rsidRDefault="002B1659" w:rsidP="006F0588">
      <w:pPr>
        <w:spacing w:after="0"/>
        <w:rPr>
          <w:rFonts w:cstheme="minorHAnsi"/>
          <w:b/>
          <w:sz w:val="24"/>
          <w:szCs w:val="24"/>
          <w:u w:val="single"/>
        </w:rPr>
      </w:pPr>
      <w:r w:rsidRPr="00C10284">
        <w:rPr>
          <w:rFonts w:cstheme="minorHAnsi"/>
          <w:b/>
          <w:sz w:val="24"/>
          <w:szCs w:val="24"/>
          <w:u w:val="single"/>
        </w:rPr>
        <w:t xml:space="preserve">Policy </w:t>
      </w:r>
      <w:r w:rsidR="00C10284" w:rsidRPr="00C10284">
        <w:rPr>
          <w:rFonts w:cstheme="minorHAnsi"/>
          <w:b/>
          <w:sz w:val="24"/>
          <w:szCs w:val="24"/>
          <w:u w:val="single"/>
        </w:rPr>
        <w:t>10011 – Table 11 – Member Account Records</w:t>
      </w:r>
    </w:p>
    <w:p w:rsidR="00C10284" w:rsidRPr="00C10284" w:rsidRDefault="00C10284" w:rsidP="006F0588">
      <w:pPr>
        <w:spacing w:after="0"/>
        <w:rPr>
          <w:rFonts w:cstheme="minorHAnsi"/>
          <w:b/>
          <w:sz w:val="24"/>
          <w:szCs w:val="24"/>
          <w:u w:val="single"/>
        </w:rPr>
      </w:pPr>
      <w:r w:rsidRPr="00C10284">
        <w:rPr>
          <w:rFonts w:cstheme="minorHAnsi"/>
          <w:b/>
          <w:sz w:val="24"/>
          <w:szCs w:val="24"/>
          <w:u w:val="single"/>
        </w:rPr>
        <w:t>2017-3</w:t>
      </w:r>
    </w:p>
    <w:p w:rsidR="00C10284" w:rsidRPr="00C10284" w:rsidRDefault="00C10284" w:rsidP="006F0588">
      <w:pPr>
        <w:spacing w:after="0"/>
        <w:rPr>
          <w:rFonts w:cstheme="minorHAnsi"/>
          <w:sz w:val="24"/>
          <w:szCs w:val="24"/>
        </w:rPr>
      </w:pPr>
      <w:r w:rsidRPr="00C10284">
        <w:rPr>
          <w:rFonts w:cstheme="minorHAnsi"/>
          <w:sz w:val="24"/>
          <w:szCs w:val="24"/>
        </w:rPr>
        <w:t>This policy was revised to include the credit union’s record retention requirements for Savings Bonds.</w:t>
      </w:r>
    </w:p>
    <w:p w:rsidR="00C10284" w:rsidRDefault="00C10284" w:rsidP="006F0588">
      <w:pPr>
        <w:spacing w:after="0"/>
        <w:rPr>
          <w:rFonts w:cstheme="minorHAnsi"/>
          <w:color w:val="FF0000"/>
          <w:sz w:val="24"/>
          <w:szCs w:val="24"/>
        </w:rPr>
      </w:pPr>
    </w:p>
    <w:p w:rsidR="00C10284" w:rsidRPr="00FD3848" w:rsidRDefault="00C10284" w:rsidP="006F0588">
      <w:pPr>
        <w:spacing w:after="0"/>
        <w:rPr>
          <w:rFonts w:cstheme="minorHAnsi"/>
          <w:color w:val="FF0000"/>
          <w:sz w:val="24"/>
          <w:szCs w:val="24"/>
        </w:rPr>
      </w:pPr>
      <w:r>
        <w:rPr>
          <w:rFonts w:cstheme="minorHAnsi"/>
          <w:color w:val="FF0000"/>
          <w:sz w:val="24"/>
          <w:szCs w:val="24"/>
        </w:rPr>
        <w:t>(Recommended)</w:t>
      </w:r>
    </w:p>
    <w:sectPr w:rsidR="00C10284" w:rsidRPr="00FD3848" w:rsidSect="00B90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C6FC0"/>
    <w:multiLevelType w:val="hybridMultilevel"/>
    <w:tmpl w:val="B1602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D8"/>
    <w:rsid w:val="00001267"/>
    <w:rsid w:val="000029A6"/>
    <w:rsid w:val="0000557B"/>
    <w:rsid w:val="000106B2"/>
    <w:rsid w:val="00013026"/>
    <w:rsid w:val="00014B57"/>
    <w:rsid w:val="000200F1"/>
    <w:rsid w:val="00021C22"/>
    <w:rsid w:val="00023FAB"/>
    <w:rsid w:val="000315F8"/>
    <w:rsid w:val="00036400"/>
    <w:rsid w:val="00036F5A"/>
    <w:rsid w:val="00043EE3"/>
    <w:rsid w:val="00046168"/>
    <w:rsid w:val="0004761E"/>
    <w:rsid w:val="00051FA8"/>
    <w:rsid w:val="0005660F"/>
    <w:rsid w:val="00056718"/>
    <w:rsid w:val="00061545"/>
    <w:rsid w:val="00067B62"/>
    <w:rsid w:val="00070AE7"/>
    <w:rsid w:val="00074839"/>
    <w:rsid w:val="000755E7"/>
    <w:rsid w:val="00080D3A"/>
    <w:rsid w:val="000811F3"/>
    <w:rsid w:val="00085236"/>
    <w:rsid w:val="00086A3A"/>
    <w:rsid w:val="00090672"/>
    <w:rsid w:val="00090DD5"/>
    <w:rsid w:val="00091126"/>
    <w:rsid w:val="000A27D8"/>
    <w:rsid w:val="000A6AA2"/>
    <w:rsid w:val="000A751A"/>
    <w:rsid w:val="000D513C"/>
    <w:rsid w:val="000F08D3"/>
    <w:rsid w:val="000F53B2"/>
    <w:rsid w:val="000F54EA"/>
    <w:rsid w:val="000F71D8"/>
    <w:rsid w:val="00102A64"/>
    <w:rsid w:val="00107530"/>
    <w:rsid w:val="001109C1"/>
    <w:rsid w:val="0011371C"/>
    <w:rsid w:val="001145EC"/>
    <w:rsid w:val="00114DA7"/>
    <w:rsid w:val="00114F4B"/>
    <w:rsid w:val="00115A78"/>
    <w:rsid w:val="0012611D"/>
    <w:rsid w:val="00127EB4"/>
    <w:rsid w:val="00127FDE"/>
    <w:rsid w:val="00132756"/>
    <w:rsid w:val="001368D2"/>
    <w:rsid w:val="001400C1"/>
    <w:rsid w:val="00162FFE"/>
    <w:rsid w:val="00165DDE"/>
    <w:rsid w:val="00170145"/>
    <w:rsid w:val="00170834"/>
    <w:rsid w:val="00171B34"/>
    <w:rsid w:val="00180102"/>
    <w:rsid w:val="00183EC0"/>
    <w:rsid w:val="00184E95"/>
    <w:rsid w:val="00194E96"/>
    <w:rsid w:val="00196302"/>
    <w:rsid w:val="001B20CA"/>
    <w:rsid w:val="001B38F4"/>
    <w:rsid w:val="001B4C05"/>
    <w:rsid w:val="001B4DCC"/>
    <w:rsid w:val="001C50D8"/>
    <w:rsid w:val="001D376F"/>
    <w:rsid w:val="001D4B3E"/>
    <w:rsid w:val="001E0DE6"/>
    <w:rsid w:val="001E5678"/>
    <w:rsid w:val="001F0A11"/>
    <w:rsid w:val="001F143C"/>
    <w:rsid w:val="001F23BF"/>
    <w:rsid w:val="001F3E1A"/>
    <w:rsid w:val="002019D5"/>
    <w:rsid w:val="0020263F"/>
    <w:rsid w:val="00207BD1"/>
    <w:rsid w:val="002112F0"/>
    <w:rsid w:val="00211A86"/>
    <w:rsid w:val="0021217B"/>
    <w:rsid w:val="00216198"/>
    <w:rsid w:val="00220082"/>
    <w:rsid w:val="0022236F"/>
    <w:rsid w:val="00227D60"/>
    <w:rsid w:val="002364CB"/>
    <w:rsid w:val="00245233"/>
    <w:rsid w:val="00250369"/>
    <w:rsid w:val="00255644"/>
    <w:rsid w:val="00262A25"/>
    <w:rsid w:val="00271634"/>
    <w:rsid w:val="00285927"/>
    <w:rsid w:val="00285F20"/>
    <w:rsid w:val="002925C1"/>
    <w:rsid w:val="00294923"/>
    <w:rsid w:val="002A13A4"/>
    <w:rsid w:val="002A262C"/>
    <w:rsid w:val="002B1659"/>
    <w:rsid w:val="002B4DDE"/>
    <w:rsid w:val="002B5230"/>
    <w:rsid w:val="002B54E5"/>
    <w:rsid w:val="002B7C4D"/>
    <w:rsid w:val="002C3E12"/>
    <w:rsid w:val="002C4239"/>
    <w:rsid w:val="002C6577"/>
    <w:rsid w:val="002D1823"/>
    <w:rsid w:val="002D55B6"/>
    <w:rsid w:val="002E41DB"/>
    <w:rsid w:val="00302A2A"/>
    <w:rsid w:val="00304E16"/>
    <w:rsid w:val="00317A11"/>
    <w:rsid w:val="00317B45"/>
    <w:rsid w:val="00321404"/>
    <w:rsid w:val="00324F95"/>
    <w:rsid w:val="00336997"/>
    <w:rsid w:val="0033754E"/>
    <w:rsid w:val="003437B4"/>
    <w:rsid w:val="0035450C"/>
    <w:rsid w:val="00354E7B"/>
    <w:rsid w:val="0036254E"/>
    <w:rsid w:val="00363693"/>
    <w:rsid w:val="00373A26"/>
    <w:rsid w:val="003922D3"/>
    <w:rsid w:val="003948E3"/>
    <w:rsid w:val="003957E3"/>
    <w:rsid w:val="003A096C"/>
    <w:rsid w:val="003A24A8"/>
    <w:rsid w:val="003B76CF"/>
    <w:rsid w:val="003C3BF2"/>
    <w:rsid w:val="003C50F3"/>
    <w:rsid w:val="003C6421"/>
    <w:rsid w:val="003C7772"/>
    <w:rsid w:val="003D0F93"/>
    <w:rsid w:val="003D6804"/>
    <w:rsid w:val="003E390B"/>
    <w:rsid w:val="003E5DB4"/>
    <w:rsid w:val="003F699B"/>
    <w:rsid w:val="00403D7A"/>
    <w:rsid w:val="0041378D"/>
    <w:rsid w:val="004150D9"/>
    <w:rsid w:val="0041662E"/>
    <w:rsid w:val="0042683F"/>
    <w:rsid w:val="004336BD"/>
    <w:rsid w:val="00433EF0"/>
    <w:rsid w:val="00434F4C"/>
    <w:rsid w:val="00440E8C"/>
    <w:rsid w:val="00442B0C"/>
    <w:rsid w:val="0044472E"/>
    <w:rsid w:val="0044495B"/>
    <w:rsid w:val="00447E97"/>
    <w:rsid w:val="0045433D"/>
    <w:rsid w:val="004546F3"/>
    <w:rsid w:val="0046118A"/>
    <w:rsid w:val="004641CE"/>
    <w:rsid w:val="004650E6"/>
    <w:rsid w:val="00475180"/>
    <w:rsid w:val="00477A02"/>
    <w:rsid w:val="0048261F"/>
    <w:rsid w:val="004831DF"/>
    <w:rsid w:val="00487A9F"/>
    <w:rsid w:val="00491607"/>
    <w:rsid w:val="00497204"/>
    <w:rsid w:val="004A1235"/>
    <w:rsid w:val="004A5149"/>
    <w:rsid w:val="004A722E"/>
    <w:rsid w:val="004C4421"/>
    <w:rsid w:val="004C5582"/>
    <w:rsid w:val="004C5C8A"/>
    <w:rsid w:val="004C6BA0"/>
    <w:rsid w:val="004C7FB4"/>
    <w:rsid w:val="004D27C8"/>
    <w:rsid w:val="004D3048"/>
    <w:rsid w:val="004D79B0"/>
    <w:rsid w:val="004E0513"/>
    <w:rsid w:val="004F0AD5"/>
    <w:rsid w:val="004F11B2"/>
    <w:rsid w:val="004F73DA"/>
    <w:rsid w:val="00500F85"/>
    <w:rsid w:val="00503B1C"/>
    <w:rsid w:val="00503C98"/>
    <w:rsid w:val="0051031B"/>
    <w:rsid w:val="005200EE"/>
    <w:rsid w:val="00523EE0"/>
    <w:rsid w:val="00525093"/>
    <w:rsid w:val="00532FC6"/>
    <w:rsid w:val="005346E5"/>
    <w:rsid w:val="00534AA5"/>
    <w:rsid w:val="00540943"/>
    <w:rsid w:val="0054265A"/>
    <w:rsid w:val="005446F2"/>
    <w:rsid w:val="00550350"/>
    <w:rsid w:val="00555DB0"/>
    <w:rsid w:val="00572303"/>
    <w:rsid w:val="005822FE"/>
    <w:rsid w:val="00587D3D"/>
    <w:rsid w:val="005931AD"/>
    <w:rsid w:val="00596B90"/>
    <w:rsid w:val="00597492"/>
    <w:rsid w:val="005A35C1"/>
    <w:rsid w:val="005A3712"/>
    <w:rsid w:val="005A48A7"/>
    <w:rsid w:val="005C1731"/>
    <w:rsid w:val="005C2ECC"/>
    <w:rsid w:val="005C3108"/>
    <w:rsid w:val="005D21FE"/>
    <w:rsid w:val="005D3449"/>
    <w:rsid w:val="005E0B0E"/>
    <w:rsid w:val="005E19F2"/>
    <w:rsid w:val="005F422A"/>
    <w:rsid w:val="0060371C"/>
    <w:rsid w:val="00605415"/>
    <w:rsid w:val="00620723"/>
    <w:rsid w:val="00626499"/>
    <w:rsid w:val="0062666A"/>
    <w:rsid w:val="0063198E"/>
    <w:rsid w:val="006341F1"/>
    <w:rsid w:val="006345C2"/>
    <w:rsid w:val="00652C5D"/>
    <w:rsid w:val="00653748"/>
    <w:rsid w:val="00673691"/>
    <w:rsid w:val="006755D9"/>
    <w:rsid w:val="00681339"/>
    <w:rsid w:val="0068229E"/>
    <w:rsid w:val="00684A7D"/>
    <w:rsid w:val="00685F2B"/>
    <w:rsid w:val="006875CB"/>
    <w:rsid w:val="006902F5"/>
    <w:rsid w:val="00696776"/>
    <w:rsid w:val="006A33EC"/>
    <w:rsid w:val="006A38F2"/>
    <w:rsid w:val="006A5937"/>
    <w:rsid w:val="006A5AE2"/>
    <w:rsid w:val="006B3AF6"/>
    <w:rsid w:val="006B5506"/>
    <w:rsid w:val="006C2A4C"/>
    <w:rsid w:val="006D33B1"/>
    <w:rsid w:val="006D6769"/>
    <w:rsid w:val="006E24B3"/>
    <w:rsid w:val="006F0588"/>
    <w:rsid w:val="006F2F2F"/>
    <w:rsid w:val="006F4AB0"/>
    <w:rsid w:val="007015C0"/>
    <w:rsid w:val="00701F78"/>
    <w:rsid w:val="007075F0"/>
    <w:rsid w:val="00721A21"/>
    <w:rsid w:val="007268EA"/>
    <w:rsid w:val="007344A8"/>
    <w:rsid w:val="00736B7D"/>
    <w:rsid w:val="00736D4C"/>
    <w:rsid w:val="0074024B"/>
    <w:rsid w:val="00745E5F"/>
    <w:rsid w:val="007462AE"/>
    <w:rsid w:val="00752D47"/>
    <w:rsid w:val="007607C6"/>
    <w:rsid w:val="00765780"/>
    <w:rsid w:val="0077125D"/>
    <w:rsid w:val="00777238"/>
    <w:rsid w:val="007837CD"/>
    <w:rsid w:val="007862A9"/>
    <w:rsid w:val="007915F9"/>
    <w:rsid w:val="0079185B"/>
    <w:rsid w:val="00796FA6"/>
    <w:rsid w:val="007D0FD6"/>
    <w:rsid w:val="007E3A54"/>
    <w:rsid w:val="007E3E35"/>
    <w:rsid w:val="007E48FD"/>
    <w:rsid w:val="007E6E43"/>
    <w:rsid w:val="007F0523"/>
    <w:rsid w:val="00800355"/>
    <w:rsid w:val="00802662"/>
    <w:rsid w:val="0080331E"/>
    <w:rsid w:val="00806885"/>
    <w:rsid w:val="00807413"/>
    <w:rsid w:val="0082498F"/>
    <w:rsid w:val="00834200"/>
    <w:rsid w:val="00836C99"/>
    <w:rsid w:val="00841393"/>
    <w:rsid w:val="008428BD"/>
    <w:rsid w:val="00846D68"/>
    <w:rsid w:val="00857E3F"/>
    <w:rsid w:val="00861803"/>
    <w:rsid w:val="008644E7"/>
    <w:rsid w:val="00866E5D"/>
    <w:rsid w:val="0086795C"/>
    <w:rsid w:val="008714FD"/>
    <w:rsid w:val="00872BBC"/>
    <w:rsid w:val="00875714"/>
    <w:rsid w:val="008815A4"/>
    <w:rsid w:val="00883718"/>
    <w:rsid w:val="008938E7"/>
    <w:rsid w:val="00893CEC"/>
    <w:rsid w:val="008A01EB"/>
    <w:rsid w:val="008B5AFF"/>
    <w:rsid w:val="008B7C92"/>
    <w:rsid w:val="008C06ED"/>
    <w:rsid w:val="008C2150"/>
    <w:rsid w:val="008D7403"/>
    <w:rsid w:val="008E43D9"/>
    <w:rsid w:val="008E7344"/>
    <w:rsid w:val="008F24DE"/>
    <w:rsid w:val="008F5787"/>
    <w:rsid w:val="009029BC"/>
    <w:rsid w:val="00904429"/>
    <w:rsid w:val="009056E4"/>
    <w:rsid w:val="009235C5"/>
    <w:rsid w:val="00923A41"/>
    <w:rsid w:val="00924E86"/>
    <w:rsid w:val="00926067"/>
    <w:rsid w:val="0093058B"/>
    <w:rsid w:val="00934CEB"/>
    <w:rsid w:val="00936252"/>
    <w:rsid w:val="0093734C"/>
    <w:rsid w:val="009514F0"/>
    <w:rsid w:val="00951ABD"/>
    <w:rsid w:val="009523BB"/>
    <w:rsid w:val="00963321"/>
    <w:rsid w:val="009674A5"/>
    <w:rsid w:val="0097362F"/>
    <w:rsid w:val="0097466A"/>
    <w:rsid w:val="00980E72"/>
    <w:rsid w:val="009821CE"/>
    <w:rsid w:val="0098222A"/>
    <w:rsid w:val="00984E09"/>
    <w:rsid w:val="00985550"/>
    <w:rsid w:val="009930F1"/>
    <w:rsid w:val="00993D53"/>
    <w:rsid w:val="009A4C1F"/>
    <w:rsid w:val="009A7ACC"/>
    <w:rsid w:val="009C14E6"/>
    <w:rsid w:val="009C2441"/>
    <w:rsid w:val="009C2934"/>
    <w:rsid w:val="009C4F46"/>
    <w:rsid w:val="009D07F1"/>
    <w:rsid w:val="009D31D5"/>
    <w:rsid w:val="009E5306"/>
    <w:rsid w:val="009E56B7"/>
    <w:rsid w:val="009E6678"/>
    <w:rsid w:val="009F2FC9"/>
    <w:rsid w:val="009F38A1"/>
    <w:rsid w:val="00A03351"/>
    <w:rsid w:val="00A03C5E"/>
    <w:rsid w:val="00A150E8"/>
    <w:rsid w:val="00A27340"/>
    <w:rsid w:val="00A31E48"/>
    <w:rsid w:val="00A3721D"/>
    <w:rsid w:val="00A462B8"/>
    <w:rsid w:val="00A4655B"/>
    <w:rsid w:val="00A4686F"/>
    <w:rsid w:val="00A47473"/>
    <w:rsid w:val="00A47FAE"/>
    <w:rsid w:val="00A632FF"/>
    <w:rsid w:val="00A66EBE"/>
    <w:rsid w:val="00A719B9"/>
    <w:rsid w:val="00A763E1"/>
    <w:rsid w:val="00A91CA6"/>
    <w:rsid w:val="00AA0106"/>
    <w:rsid w:val="00AA3F29"/>
    <w:rsid w:val="00AA5B1A"/>
    <w:rsid w:val="00AA7553"/>
    <w:rsid w:val="00AB0A58"/>
    <w:rsid w:val="00AB7419"/>
    <w:rsid w:val="00AC4E47"/>
    <w:rsid w:val="00AD0567"/>
    <w:rsid w:val="00AE13DC"/>
    <w:rsid w:val="00AE2C25"/>
    <w:rsid w:val="00AF12D8"/>
    <w:rsid w:val="00AF3DED"/>
    <w:rsid w:val="00AF5779"/>
    <w:rsid w:val="00B04FC4"/>
    <w:rsid w:val="00B25593"/>
    <w:rsid w:val="00B32571"/>
    <w:rsid w:val="00B513B6"/>
    <w:rsid w:val="00B51894"/>
    <w:rsid w:val="00B52136"/>
    <w:rsid w:val="00B563E1"/>
    <w:rsid w:val="00B577DF"/>
    <w:rsid w:val="00B60BBA"/>
    <w:rsid w:val="00B659C4"/>
    <w:rsid w:val="00B66CF6"/>
    <w:rsid w:val="00B67303"/>
    <w:rsid w:val="00B73E3F"/>
    <w:rsid w:val="00B77694"/>
    <w:rsid w:val="00B81F9D"/>
    <w:rsid w:val="00B842D4"/>
    <w:rsid w:val="00B90BA1"/>
    <w:rsid w:val="00B90FD6"/>
    <w:rsid w:val="00B9127B"/>
    <w:rsid w:val="00B94637"/>
    <w:rsid w:val="00BA1F65"/>
    <w:rsid w:val="00BA26B2"/>
    <w:rsid w:val="00BA279D"/>
    <w:rsid w:val="00BA430F"/>
    <w:rsid w:val="00BB0AED"/>
    <w:rsid w:val="00BB140A"/>
    <w:rsid w:val="00BB59B8"/>
    <w:rsid w:val="00BC51D5"/>
    <w:rsid w:val="00BD1B72"/>
    <w:rsid w:val="00BD4441"/>
    <w:rsid w:val="00BE0DFF"/>
    <w:rsid w:val="00BE3E26"/>
    <w:rsid w:val="00BF1530"/>
    <w:rsid w:val="00BF501E"/>
    <w:rsid w:val="00C02A7B"/>
    <w:rsid w:val="00C10284"/>
    <w:rsid w:val="00C14330"/>
    <w:rsid w:val="00C15BB8"/>
    <w:rsid w:val="00C21218"/>
    <w:rsid w:val="00C21422"/>
    <w:rsid w:val="00C21978"/>
    <w:rsid w:val="00C2260D"/>
    <w:rsid w:val="00C22AD6"/>
    <w:rsid w:val="00C250D5"/>
    <w:rsid w:val="00C2705D"/>
    <w:rsid w:val="00C30421"/>
    <w:rsid w:val="00C32D59"/>
    <w:rsid w:val="00C364D2"/>
    <w:rsid w:val="00C44706"/>
    <w:rsid w:val="00C53582"/>
    <w:rsid w:val="00C567E8"/>
    <w:rsid w:val="00C57F9B"/>
    <w:rsid w:val="00C64F2C"/>
    <w:rsid w:val="00C7600B"/>
    <w:rsid w:val="00C80027"/>
    <w:rsid w:val="00C82E7B"/>
    <w:rsid w:val="00C87CA8"/>
    <w:rsid w:val="00C940C8"/>
    <w:rsid w:val="00CB6433"/>
    <w:rsid w:val="00CB7D30"/>
    <w:rsid w:val="00CC1E6E"/>
    <w:rsid w:val="00CD6D27"/>
    <w:rsid w:val="00CE7F1A"/>
    <w:rsid w:val="00CF13FC"/>
    <w:rsid w:val="00D15BFB"/>
    <w:rsid w:val="00D15EB1"/>
    <w:rsid w:val="00D16C95"/>
    <w:rsid w:val="00D2065B"/>
    <w:rsid w:val="00D212CF"/>
    <w:rsid w:val="00D356EE"/>
    <w:rsid w:val="00D46A66"/>
    <w:rsid w:val="00D47ADC"/>
    <w:rsid w:val="00D52AFA"/>
    <w:rsid w:val="00D603ED"/>
    <w:rsid w:val="00D62DA6"/>
    <w:rsid w:val="00D70B2C"/>
    <w:rsid w:val="00D72903"/>
    <w:rsid w:val="00D83E33"/>
    <w:rsid w:val="00D85BE1"/>
    <w:rsid w:val="00D92AE7"/>
    <w:rsid w:val="00D94E6D"/>
    <w:rsid w:val="00D94F80"/>
    <w:rsid w:val="00D95A72"/>
    <w:rsid w:val="00DA40ED"/>
    <w:rsid w:val="00DA5E05"/>
    <w:rsid w:val="00DC60F2"/>
    <w:rsid w:val="00DD4809"/>
    <w:rsid w:val="00DD4AD7"/>
    <w:rsid w:val="00DE05A2"/>
    <w:rsid w:val="00DE3201"/>
    <w:rsid w:val="00DF02AD"/>
    <w:rsid w:val="00DF383E"/>
    <w:rsid w:val="00E04720"/>
    <w:rsid w:val="00E05AF5"/>
    <w:rsid w:val="00E104E2"/>
    <w:rsid w:val="00E1279A"/>
    <w:rsid w:val="00E14527"/>
    <w:rsid w:val="00E22808"/>
    <w:rsid w:val="00E2597A"/>
    <w:rsid w:val="00E313FF"/>
    <w:rsid w:val="00E32B47"/>
    <w:rsid w:val="00E33491"/>
    <w:rsid w:val="00E33782"/>
    <w:rsid w:val="00E34BA5"/>
    <w:rsid w:val="00E35FA8"/>
    <w:rsid w:val="00E37C05"/>
    <w:rsid w:val="00E40AC8"/>
    <w:rsid w:val="00E46C44"/>
    <w:rsid w:val="00E5066C"/>
    <w:rsid w:val="00E5247F"/>
    <w:rsid w:val="00E65221"/>
    <w:rsid w:val="00E66864"/>
    <w:rsid w:val="00E75AAB"/>
    <w:rsid w:val="00E838C4"/>
    <w:rsid w:val="00E8487F"/>
    <w:rsid w:val="00E90AFC"/>
    <w:rsid w:val="00EA23BF"/>
    <w:rsid w:val="00EA281C"/>
    <w:rsid w:val="00EB19FD"/>
    <w:rsid w:val="00EB5634"/>
    <w:rsid w:val="00EB73E0"/>
    <w:rsid w:val="00EC2122"/>
    <w:rsid w:val="00EC2A67"/>
    <w:rsid w:val="00EC6CDB"/>
    <w:rsid w:val="00ED2205"/>
    <w:rsid w:val="00EE0453"/>
    <w:rsid w:val="00EE43AE"/>
    <w:rsid w:val="00F031B4"/>
    <w:rsid w:val="00F109F1"/>
    <w:rsid w:val="00F21436"/>
    <w:rsid w:val="00F30B7A"/>
    <w:rsid w:val="00F42D3D"/>
    <w:rsid w:val="00F4480E"/>
    <w:rsid w:val="00F54F33"/>
    <w:rsid w:val="00F609AE"/>
    <w:rsid w:val="00F63104"/>
    <w:rsid w:val="00F63D61"/>
    <w:rsid w:val="00F87A23"/>
    <w:rsid w:val="00F92157"/>
    <w:rsid w:val="00F96232"/>
    <w:rsid w:val="00F9641C"/>
    <w:rsid w:val="00F97BF4"/>
    <w:rsid w:val="00FA62F2"/>
    <w:rsid w:val="00FB0D7B"/>
    <w:rsid w:val="00FB3840"/>
    <w:rsid w:val="00FC0BBD"/>
    <w:rsid w:val="00FC425B"/>
    <w:rsid w:val="00FD3848"/>
    <w:rsid w:val="00FD39F7"/>
    <w:rsid w:val="00FE207A"/>
    <w:rsid w:val="00FE6F1B"/>
    <w:rsid w:val="00FF2BAE"/>
    <w:rsid w:val="00FF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2FCC5-99F9-423D-A59A-68A7A44B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DDE"/>
    <w:rPr>
      <w:color w:val="0000FF" w:themeColor="hyperlink"/>
      <w:u w:val="single"/>
    </w:rPr>
  </w:style>
  <w:style w:type="character" w:styleId="FollowedHyperlink">
    <w:name w:val="FollowedHyperlink"/>
    <w:basedOn w:val="DefaultParagraphFont"/>
    <w:uiPriority w:val="99"/>
    <w:semiHidden/>
    <w:unhideWhenUsed/>
    <w:rsid w:val="00BD1B72"/>
    <w:rPr>
      <w:color w:val="800080" w:themeColor="followedHyperlink"/>
      <w:u w:val="single"/>
    </w:rPr>
  </w:style>
  <w:style w:type="paragraph" w:customStyle="1" w:styleId="Default">
    <w:name w:val="Default"/>
    <w:rsid w:val="00DE320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9127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339">
      <w:bodyDiv w:val="1"/>
      <w:marLeft w:val="0"/>
      <w:marRight w:val="0"/>
      <w:marTop w:val="0"/>
      <w:marBottom w:val="0"/>
      <w:divBdr>
        <w:top w:val="none" w:sz="0" w:space="0" w:color="auto"/>
        <w:left w:val="none" w:sz="0" w:space="0" w:color="auto"/>
        <w:bottom w:val="none" w:sz="0" w:space="0" w:color="auto"/>
        <w:right w:val="none" w:sz="0" w:space="0" w:color="auto"/>
      </w:divBdr>
    </w:div>
    <w:div w:id="33845904">
      <w:bodyDiv w:val="1"/>
      <w:marLeft w:val="0"/>
      <w:marRight w:val="0"/>
      <w:marTop w:val="0"/>
      <w:marBottom w:val="0"/>
      <w:divBdr>
        <w:top w:val="none" w:sz="0" w:space="0" w:color="auto"/>
        <w:left w:val="none" w:sz="0" w:space="0" w:color="auto"/>
        <w:bottom w:val="none" w:sz="0" w:space="0" w:color="auto"/>
        <w:right w:val="none" w:sz="0" w:space="0" w:color="auto"/>
      </w:divBdr>
    </w:div>
    <w:div w:id="553468289">
      <w:bodyDiv w:val="1"/>
      <w:marLeft w:val="0"/>
      <w:marRight w:val="0"/>
      <w:marTop w:val="0"/>
      <w:marBottom w:val="0"/>
      <w:divBdr>
        <w:top w:val="none" w:sz="0" w:space="0" w:color="auto"/>
        <w:left w:val="none" w:sz="0" w:space="0" w:color="auto"/>
        <w:bottom w:val="none" w:sz="0" w:space="0" w:color="auto"/>
        <w:right w:val="none" w:sz="0" w:space="0" w:color="auto"/>
      </w:divBdr>
    </w:div>
    <w:div w:id="962073202">
      <w:bodyDiv w:val="1"/>
      <w:marLeft w:val="0"/>
      <w:marRight w:val="0"/>
      <w:marTop w:val="0"/>
      <w:marBottom w:val="0"/>
      <w:divBdr>
        <w:top w:val="none" w:sz="0" w:space="0" w:color="auto"/>
        <w:left w:val="none" w:sz="0" w:space="0" w:color="auto"/>
        <w:bottom w:val="none" w:sz="0" w:space="0" w:color="auto"/>
        <w:right w:val="none" w:sz="0" w:space="0" w:color="auto"/>
      </w:divBdr>
    </w:div>
    <w:div w:id="1052923117">
      <w:bodyDiv w:val="1"/>
      <w:marLeft w:val="0"/>
      <w:marRight w:val="0"/>
      <w:marTop w:val="0"/>
      <w:marBottom w:val="0"/>
      <w:divBdr>
        <w:top w:val="none" w:sz="0" w:space="0" w:color="auto"/>
        <w:left w:val="none" w:sz="0" w:space="0" w:color="auto"/>
        <w:bottom w:val="none" w:sz="0" w:space="0" w:color="auto"/>
        <w:right w:val="none" w:sz="0" w:space="0" w:color="auto"/>
      </w:divBdr>
    </w:div>
    <w:div w:id="1074933893">
      <w:bodyDiv w:val="1"/>
      <w:marLeft w:val="0"/>
      <w:marRight w:val="0"/>
      <w:marTop w:val="0"/>
      <w:marBottom w:val="0"/>
      <w:divBdr>
        <w:top w:val="none" w:sz="0" w:space="0" w:color="auto"/>
        <w:left w:val="none" w:sz="0" w:space="0" w:color="auto"/>
        <w:bottom w:val="none" w:sz="0" w:space="0" w:color="auto"/>
        <w:right w:val="none" w:sz="0" w:space="0" w:color="auto"/>
      </w:divBdr>
    </w:div>
    <w:div w:id="1633710936">
      <w:bodyDiv w:val="1"/>
      <w:marLeft w:val="0"/>
      <w:marRight w:val="0"/>
      <w:marTop w:val="0"/>
      <w:marBottom w:val="0"/>
      <w:divBdr>
        <w:top w:val="none" w:sz="0" w:space="0" w:color="auto"/>
        <w:left w:val="none" w:sz="0" w:space="0" w:color="auto"/>
        <w:bottom w:val="none" w:sz="0" w:space="0" w:color="auto"/>
        <w:right w:val="none" w:sz="0" w:space="0" w:color="auto"/>
      </w:divBdr>
      <w:divsChild>
        <w:div w:id="1191410024">
          <w:marLeft w:val="0"/>
          <w:marRight w:val="0"/>
          <w:marTop w:val="0"/>
          <w:marBottom w:val="0"/>
          <w:divBdr>
            <w:top w:val="none" w:sz="0" w:space="0" w:color="auto"/>
            <w:left w:val="none" w:sz="0" w:space="0" w:color="auto"/>
            <w:bottom w:val="none" w:sz="0" w:space="0" w:color="auto"/>
            <w:right w:val="none" w:sz="0" w:space="0" w:color="auto"/>
          </w:divBdr>
        </w:div>
        <w:div w:id="639505215">
          <w:marLeft w:val="0"/>
          <w:marRight w:val="0"/>
          <w:marTop w:val="0"/>
          <w:marBottom w:val="0"/>
          <w:divBdr>
            <w:top w:val="none" w:sz="0" w:space="0" w:color="auto"/>
            <w:left w:val="none" w:sz="0" w:space="0" w:color="auto"/>
            <w:bottom w:val="none" w:sz="0" w:space="0" w:color="auto"/>
            <w:right w:val="none" w:sz="0" w:space="0" w:color="auto"/>
          </w:divBdr>
        </w:div>
      </w:divsChild>
    </w:div>
    <w:div w:id="17757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5/07/22/2015-17480/limitations-on-terms-of-consumer-credit-extended-to-service-members-and-dependents" TargetMode="External"/><Relationship Id="rId13" Type="http://schemas.openxmlformats.org/officeDocument/2006/relationships/hyperlink" Target="https://www.consumerfinance.gov/policy-compliance/rulemaking/final-rules/amendments-2013-mortgage-rules-under-real-estate-settlement-procedures-act-regulation-x-and-truth-lending-act-regulation-z/" TargetMode="External"/><Relationship Id="rId3" Type="http://schemas.openxmlformats.org/officeDocument/2006/relationships/settings" Target="settings.xml"/><Relationship Id="rId7" Type="http://schemas.openxmlformats.org/officeDocument/2006/relationships/hyperlink" Target="https://www.consumerfinance.gov/policy-compliance/rulemaking/final-rules/amendments-2013-mortgage-rules-under-real-estate-settlement-procedures-act-regulation-x-and-truth-lending-act-regulation-z/" TargetMode="External"/><Relationship Id="rId12" Type="http://schemas.openxmlformats.org/officeDocument/2006/relationships/hyperlink" Target="https://www.consumerfinance.gov/policy-compliance/rulemaking/final-rules/amendments-2013-mortgage-rules-under-real-estate-settlement-procedures-act-regulation-x-and-truth-lending-act-regulatio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cha.org/rules/same-day-ach-moving-payments-faster-phase-2" TargetMode="External"/><Relationship Id="rId11" Type="http://schemas.openxmlformats.org/officeDocument/2006/relationships/hyperlink" Target="https://www.federalregister.gov/documents/2015/07/22/2015-17480/limitations-on-terms-of-consumer-credit-extended-to-service-members-and-dependents" TargetMode="External"/><Relationship Id="rId5" Type="http://schemas.openxmlformats.org/officeDocument/2006/relationships/hyperlink" Target="https://webapps.dol.gov/federalregister/PdfDisplay.aspx?DocId=28806" TargetMode="External"/><Relationship Id="rId15" Type="http://schemas.openxmlformats.org/officeDocument/2006/relationships/fontTable" Target="fontTable.xml"/><Relationship Id="rId10" Type="http://schemas.openxmlformats.org/officeDocument/2006/relationships/hyperlink" Target="https://webapps.dol.gov/federalregister/PdfDisplay.aspx?DocId=28806" TargetMode="External"/><Relationship Id="rId4" Type="http://schemas.openxmlformats.org/officeDocument/2006/relationships/webSettings" Target="webSettings.xml"/><Relationship Id="rId9" Type="http://schemas.openxmlformats.org/officeDocument/2006/relationships/hyperlink" Target="https://webapps.dol.gov/federalregister/PdfDisplay.aspx?DocId=28806" TargetMode="External"/><Relationship Id="rId14" Type="http://schemas.openxmlformats.org/officeDocument/2006/relationships/hyperlink" Target="https://www.ncua.gov/regulation-supervision/Pages/policy-compliance/communications/letters-to-credit-unions/2008/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Wolbert</dc:creator>
  <cp:lastModifiedBy>Mary Ann Koelzer</cp:lastModifiedBy>
  <cp:revision>2</cp:revision>
  <cp:lastPrinted>2014-12-03T13:21:00Z</cp:lastPrinted>
  <dcterms:created xsi:type="dcterms:W3CDTF">2017-06-29T19:46:00Z</dcterms:created>
  <dcterms:modified xsi:type="dcterms:W3CDTF">2017-06-29T19:46:00Z</dcterms:modified>
</cp:coreProperties>
</file>